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5.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13.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1"/>
        <w:keepNext w:val="true"/>
        <w:spacing w:before="120" w:after="0"/>
        <w:ind w:left="4536"/>
        <w:rPr>
          <w:rFonts w:ascii="Times New Roman" w:hAnsi="Times New Roman"/>
          <w:sz w:val="22"/>
          <w:szCs w:val="22"/>
        </w:rPr>
      </w:pPr>
      <w:r>
        <w:rPr>
          <w:sz w:val="22"/>
          <w:szCs w:val="22"/>
        </w:rPr>
        <w:t>«УТВЕРЖДАЮ»</w:t>
      </w:r>
    </w:p>
    <w:p>
      <w:pPr>
        <w:pStyle w:val="Style31"/>
        <w:keepNext w:val="true"/>
        <w:ind w:left="4536"/>
        <w:rPr>
          <w:rFonts w:ascii="Times New Roman" w:hAnsi="Times New Roman"/>
          <w:sz w:val="22"/>
          <w:szCs w:val="22"/>
        </w:rPr>
      </w:pPr>
      <w:r>
        <w:rPr>
          <w:sz w:val="22"/>
          <w:szCs w:val="22"/>
        </w:rPr>
        <w:t>Председатель закупочной комиссии 1-го уровня — Заместитель Генерального директора по управлению АО «ДГК»</w:t>
      </w:r>
    </w:p>
    <w:p>
      <w:pPr>
        <w:pStyle w:val="Style31"/>
        <w:keepNext w:val="true"/>
        <w:ind w:left="4536"/>
        <w:rPr>
          <w:rFonts w:ascii="Times New Roman" w:hAnsi="Times New Roman"/>
          <w:sz w:val="22"/>
          <w:szCs w:val="22"/>
        </w:rPr>
      </w:pPr>
      <w:r>
        <w:rPr>
          <w:sz w:val="22"/>
          <w:szCs w:val="22"/>
        </w:rPr>
        <w:t>___________________Д.А. Богонатов</w:t>
      </w:r>
    </w:p>
    <w:p>
      <w:pPr>
        <w:pStyle w:val="Style31"/>
        <w:keepNext w:val="true"/>
        <w:ind w:left="4536"/>
        <w:rPr>
          <w:rFonts w:ascii="Times New Roman" w:hAnsi="Times New Roman"/>
          <w:sz w:val="22"/>
          <w:szCs w:val="22"/>
        </w:rPr>
      </w:pPr>
      <w:r>
        <w:rPr>
          <w:sz w:val="22"/>
          <w:szCs w:val="22"/>
        </w:rPr>
        <w:t>«____» ___________________ 2026 год</w:t>
      </w:r>
    </w:p>
    <w:p>
      <w:pPr>
        <w:pStyle w:val="Style31"/>
        <w:rPr>
          <w:rFonts w:ascii="Times New Roman" w:hAnsi="Times New Roman"/>
          <w:sz w:val="22"/>
          <w:szCs w:val="22"/>
        </w:rPr>
      </w:pPr>
      <w:r>
        <w:rPr>
          <w:sz w:val="22"/>
          <w:szCs w:val="22"/>
        </w:rPr>
      </w:r>
    </w:p>
    <w:p>
      <w:pPr>
        <w:pStyle w:val="Style31"/>
        <w:rPr>
          <w:rFonts w:ascii="Times New Roman" w:hAnsi="Times New Roman"/>
          <w:sz w:val="22"/>
          <w:szCs w:val="22"/>
        </w:rPr>
      </w:pPr>
      <w:r>
        <w:rPr>
          <w:sz w:val="22"/>
          <w:szCs w:val="22"/>
        </w:rPr>
      </w:r>
    </w:p>
    <w:p>
      <w:pPr>
        <w:pStyle w:val="Style31"/>
        <w:rPr>
          <w:rFonts w:ascii="Times New Roman" w:hAnsi="Times New Roman"/>
          <w:sz w:val="22"/>
          <w:szCs w:val="22"/>
        </w:rPr>
      </w:pPr>
      <w:r>
        <w:rPr>
          <w:sz w:val="22"/>
          <w:szCs w:val="22"/>
        </w:rPr>
      </w:r>
    </w:p>
    <w:p>
      <w:pPr>
        <w:pStyle w:val="Style31"/>
        <w:rPr>
          <w:rFonts w:ascii="Times New Roman" w:hAnsi="Times New Roman"/>
          <w:sz w:val="22"/>
          <w:szCs w:val="22"/>
        </w:rPr>
      </w:pPr>
      <w:r>
        <w:rPr>
          <w:sz w:val="22"/>
          <w:szCs w:val="22"/>
        </w:rPr>
      </w:r>
    </w:p>
    <w:p>
      <w:pPr>
        <w:pStyle w:val="Style31"/>
        <w:rPr>
          <w:rFonts w:ascii="Times New Roman" w:hAnsi="Times New Roman"/>
          <w:sz w:val="22"/>
          <w:szCs w:val="22"/>
        </w:rPr>
      </w:pPr>
      <w:r>
        <w:rPr>
          <w:sz w:val="22"/>
          <w:szCs w:val="22"/>
        </w:rPr>
      </w:r>
    </w:p>
    <w:p>
      <w:pPr>
        <w:pStyle w:val="Style31"/>
        <w:keepNext w:val="true"/>
        <w:numPr>
          <w:ilvl w:val="0"/>
          <w:numId w:val="0"/>
        </w:numPr>
        <w:ind w:hanging="0" w:left="0"/>
        <w:jc w:val="center"/>
        <w:outlineLvl w:val="2"/>
        <w:rPr>
          <w:rFonts w:ascii="Times New Roman" w:hAnsi="Times New Roman"/>
          <w:sz w:val="22"/>
          <w:szCs w:val="22"/>
        </w:rPr>
      </w:pPr>
      <w:r>
        <w:rPr>
          <w:b/>
          <w:bCs/>
          <w:caps/>
          <w:sz w:val="22"/>
          <w:szCs w:val="22"/>
        </w:rPr>
        <w:t>Документация о закупке</w:t>
      </w:r>
    </w:p>
    <w:p>
      <w:pPr>
        <w:pStyle w:val="Style31"/>
        <w:spacing w:before="240" w:after="0"/>
        <w:jc w:val="center"/>
        <w:rPr/>
      </w:pPr>
      <w:hyperlink r:id="rId2">
        <w:r>
          <w:rPr>
            <w:rStyle w:val="Hyperlink"/>
            <w:rFonts w:eastAsia="Calibri" w:cs="" w:cstheme="minorBidi" w:eastAsiaTheme="minorHAnsi"/>
            <w:b w:val="false"/>
            <w:bCs w:val="false"/>
            <w:color w:val="111111"/>
            <w:kern w:val="0"/>
            <w:sz w:val="22"/>
            <w:szCs w:val="22"/>
            <w:u w:val="none"/>
            <w:lang w:val="ru-RU" w:eastAsia="en-US" w:bidi="ar-SA"/>
          </w:rPr>
          <w:t>ОКПД2 43.99.90.190 Выполнение работ строительно-монтажных по объекту: Техперевооружение комплекса инженерно-технических средств физической защиты СП Комсомольская ТЭЦ-3, водогрейная котельная Дземги в рамках реализации инвестиционного проекта F_505-ХГ-25, г. Комсомольск-на Амуре</w:t>
        </w:r>
      </w:hyperlink>
    </w:p>
    <w:p>
      <w:pPr>
        <w:sectPr>
          <w:type w:val="nextPage"/>
          <w:pgSz w:w="11906" w:h="16838"/>
          <w:pgMar w:left="1134" w:right="850" w:gutter="0" w:header="0" w:top="851" w:footer="0" w:bottom="851"/>
          <w:pgNumType w:fmt="decimal"/>
          <w:formProt w:val="false"/>
          <w:textDirection w:val="lrTb"/>
          <w:docGrid w:type="default" w:linePitch="360" w:charSpace="0"/>
        </w:sectPr>
        <w:pStyle w:val="Style31"/>
        <w:keepNext w:val="true"/>
        <w:spacing w:before="240" w:after="0"/>
        <w:jc w:val="center"/>
        <w:rPr/>
      </w:pPr>
      <w:r>
        <w:rPr>
          <w:sz w:val="22"/>
          <w:szCs w:val="22"/>
        </w:rPr>
        <w:t>(Лот №</w:t>
      </w:r>
      <w:r>
        <w:rPr>
          <w:rFonts w:eastAsia="Calibri" w:cs="" w:cstheme="minorBidi" w:eastAsiaTheme="minorHAnsi"/>
          <w:b w:val="false"/>
          <w:bCs w:val="false"/>
          <w:color w:val="111111"/>
          <w:kern w:val="0"/>
          <w:sz w:val="22"/>
          <w:szCs w:val="22"/>
          <w:u w:val="none"/>
          <w:lang w:val="ru-RU" w:eastAsia="en-US" w:bidi="ar-SA"/>
        </w:rPr>
        <w:t> 22130002</w:t>
      </w:r>
      <w:r>
        <w:rPr>
          <w:rStyle w:val="Style11"/>
          <w:rFonts w:eastAsia="Calibri" w:cs="" w:cstheme="minorBidi" w:eastAsiaTheme="minorHAnsi"/>
          <w:b w:val="false"/>
          <w:bCs w:val="false"/>
          <w:i w:val="false"/>
          <w:iCs w:val="false"/>
          <w:color w:val="111111"/>
          <w:kern w:val="0"/>
          <w:sz w:val="22"/>
          <w:szCs w:val="22"/>
          <w:u w:val="none"/>
          <w:shd w:fill="auto" w:val="clear"/>
          <w:lang w:val="ru-RU" w:eastAsia="en-US" w:bidi="ar-SA"/>
        </w:rPr>
        <w:t>-ТПИР ОБСЛ-2027-ДГК-КТЭЦ3</w:t>
      </w:r>
      <w:r>
        <w:rPr>
          <w:rFonts w:eastAsia="Calibri" w:cs="" w:cstheme="minorBidi" w:eastAsiaTheme="minorHAnsi"/>
          <w:b w:val="false"/>
          <w:bCs w:val="false"/>
          <w:color w:val="111111"/>
          <w:kern w:val="0"/>
          <w:sz w:val="22"/>
          <w:szCs w:val="22"/>
          <w:u w:val="none"/>
          <w:lang w:val="ru-RU" w:eastAsia="en-US" w:bidi="ar-SA"/>
        </w:rPr>
        <w:t>)</w:t>
      </w:r>
    </w:p>
    <w:p>
      <w:pPr>
        <w:pStyle w:val="Style30"/>
        <w:numPr>
          <w:ilvl w:val="0"/>
          <w:numId w:val="0"/>
        </w:numPr>
        <w:ind w:hanging="0" w:left="0"/>
        <w:outlineLvl w:val="2"/>
        <w:rPr>
          <w:rFonts w:ascii="Times New Roman" w:hAnsi="Times New Roman"/>
          <w:sz w:val="22"/>
          <w:szCs w:val="22"/>
        </w:rPr>
      </w:pPr>
      <w:r>
        <w:rPr>
          <w:sz w:val="22"/>
          <w:szCs w:val="22"/>
        </w:rPr>
        <w:t>Содержание</w:t>
      </w:r>
    </w:p>
    <w:sdt>
      <w:sdtPr>
        <w:docPartObj>
          <w:docPartGallery w:val="Table of Contents"/>
          <w:docPartUnique w:val="true"/>
        </w:docPartObj>
      </w:sdtPr>
      <w:sdtContent>
        <w:p>
          <w:pPr>
            <w:pStyle w:val="TOC1"/>
            <w:rPr/>
          </w:pPr>
          <w:r>
            <w:fldChar w:fldCharType="begin"/>
          </w:r>
          <w:r>
            <w:rPr>
              <w:webHidden/>
              <w:rStyle w:val="Style20"/>
              <w:sz w:val="22"/>
              <w:szCs w:val="22"/>
              <w:vanish w:val="false"/>
            </w:rPr>
            <w:instrText xml:space="preserve"> TOC \z \u \t "[РГ] Перечисление,5,[РГ] Подпункт,4,[РГ] Пункт,3,[РГ] Подраздел,2,[РГ] Раздел,1,[РГ] Раздел,1,[РГ] Раздел,1,[РГ] Раздел,1,[РГ] Раздел,1,[РГ] Раздел,1,[РГ] Подраздел,2,[РГ] Подраздел,2,[РГ] Подраздел,2,[РГ] Подраздел,2,[РГ] Подраздел,2,[РГ] Пункт,3,[РГ] Пункт,3,[РГ] Пункт,3,[РГ] Пункт,3,[РГ] Подпункт,4,[РГ] Подпункт,4,[РГ] Подпункт,4,[РГ] Подпункт,4,[РГ] Перечисление,5,[РГ] Перечисление,5,[РГ] Перечисление,5,[РГ] Перечисление,5" \h</w:instrText>
          </w:r>
          <w:r>
            <w:rPr>
              <w:webHidden/>
              <w:rStyle w:val="Style20"/>
              <w:sz w:val="22"/>
              <w:szCs w:val="22"/>
              <w:vanish w:val="false"/>
            </w:rPr>
            <w:fldChar w:fldCharType="separate"/>
          </w:r>
          <w:hyperlink w:anchor="_Toc230928825">
            <w:r>
              <w:rPr>
                <w:webHidden/>
              </w:rPr>
              <w:fldChar w:fldCharType="begin"/>
            </w:r>
            <w:r>
              <w:rPr>
                <w:webHidden/>
              </w:rPr>
              <w:instrText xml:space="preserve">PAGEREF _Toc230928825 \h</w:instrText>
            </w:r>
            <w:r>
              <w:rPr>
                <w:webHidden/>
              </w:rPr>
              <w:fldChar w:fldCharType="separate"/>
            </w:r>
            <w:r>
              <w:rPr>
                <w:webHidden/>
                <w:rStyle w:val="Style20"/>
                <w:vanish w:val="false"/>
                <w:sz w:val="22"/>
                <w:szCs w:val="22"/>
              </w:rPr>
              <w:t>Сокращения</w:t>
              <w:tab/>
              <w:t>6</w:t>
            </w:r>
            <w:r>
              <w:rPr>
                <w:webHidden/>
              </w:rPr>
              <w:fldChar w:fldCharType="end"/>
            </w:r>
          </w:hyperlink>
        </w:p>
        <w:p>
          <w:pPr>
            <w:pStyle w:val="TOC1"/>
            <w:rPr/>
          </w:pPr>
          <w:hyperlink w:anchor="_Toc230928826">
            <w:r>
              <w:rPr>
                <w:webHidden/>
              </w:rPr>
              <w:fldChar w:fldCharType="begin"/>
            </w:r>
            <w:r>
              <w:rPr>
                <w:webHidden/>
              </w:rPr>
              <w:instrText xml:space="preserve">PAGEREF _Toc230928826 \h</w:instrText>
            </w:r>
            <w:r>
              <w:rPr>
                <w:webHidden/>
              </w:rPr>
              <w:fldChar w:fldCharType="separate"/>
            </w:r>
            <w:r>
              <w:rPr>
                <w:webHidden/>
                <w:rStyle w:val="Style20"/>
                <w:vanish w:val="false"/>
                <w:sz w:val="22"/>
                <w:szCs w:val="22"/>
              </w:rPr>
              <w:t>Термины и определения</w:t>
              <w:tab/>
              <w:t>8</w:t>
            </w:r>
            <w:r>
              <w:rPr>
                <w:webHidden/>
              </w:rPr>
              <w:fldChar w:fldCharType="end"/>
            </w:r>
          </w:hyperlink>
        </w:p>
        <w:p>
          <w:pPr>
            <w:pStyle w:val="TOC1"/>
            <w:rPr/>
          </w:pPr>
          <w:hyperlink w:anchor="_Toc230928827">
            <w:r>
              <w:rPr>
                <w:webHidden/>
                <w:rStyle w:val="Style20"/>
                <w:vanish w:val="false"/>
                <w:sz w:val="22"/>
                <w:szCs w:val="22"/>
              </w:rPr>
              <w:t>1.</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Основные сведения о закупке</w:t>
            </w:r>
            <w:r>
              <w:rPr>
                <w:webHidden/>
              </w:rPr>
              <w:fldChar w:fldCharType="begin"/>
            </w:r>
            <w:r>
              <w:rPr>
                <w:webHidden/>
              </w:rPr>
              <w:instrText xml:space="preserve">PAGEREF _Toc230928827 \h</w:instrText>
            </w:r>
            <w:r>
              <w:rPr>
                <w:webHidden/>
              </w:rPr>
              <w:fldChar w:fldCharType="separate"/>
            </w:r>
            <w:r>
              <w:rPr>
                <w:rStyle w:val="Style20"/>
                <w:vanish w:val="false"/>
                <w:sz w:val="22"/>
                <w:szCs w:val="22"/>
              </w:rPr>
              <w:tab/>
              <w:t>12</w:t>
            </w:r>
            <w:r>
              <w:rPr>
                <w:webHidden/>
              </w:rPr>
              <w:fldChar w:fldCharType="end"/>
            </w:r>
          </w:hyperlink>
        </w:p>
        <w:p>
          <w:pPr>
            <w:pStyle w:val="TOC2"/>
            <w:rPr/>
          </w:pPr>
          <w:hyperlink w:anchor="_Toc230928828">
            <w:r>
              <w:rPr>
                <w:webHidden/>
                <w:rStyle w:val="Style20"/>
                <w:vanish w:val="false"/>
                <w:sz w:val="22"/>
                <w:szCs w:val="22"/>
              </w:rPr>
              <w:t>1.1</w:t>
            </w:r>
            <w:r>
              <w:rPr>
                <w:rStyle w:val="Style20"/>
                <w:rFonts w:eastAsia="" w:eastAsiaTheme="minorEastAsia"/>
                <w:kern w:val="2"/>
                <w:sz w:val="22"/>
                <w:szCs w:val="22"/>
                <w:lang w:eastAsia="ru-RU"/>
                <w14:ligatures w14:val="standardContextual"/>
              </w:rPr>
              <w:tab/>
            </w:r>
            <w:r>
              <w:rPr>
                <w:rStyle w:val="Style20"/>
                <w:sz w:val="22"/>
                <w:szCs w:val="22"/>
              </w:rPr>
              <w:t>Статус настоящего раздела</w:t>
            </w:r>
            <w:r>
              <w:rPr>
                <w:webHidden/>
              </w:rPr>
              <w:fldChar w:fldCharType="begin"/>
            </w:r>
            <w:r>
              <w:rPr>
                <w:webHidden/>
              </w:rPr>
              <w:instrText xml:space="preserve">PAGEREF _Toc230928828 \h</w:instrText>
            </w:r>
            <w:r>
              <w:rPr>
                <w:webHidden/>
              </w:rPr>
              <w:fldChar w:fldCharType="separate"/>
            </w:r>
            <w:r>
              <w:rPr>
                <w:rStyle w:val="Style20"/>
                <w:vanish w:val="false"/>
                <w:sz w:val="22"/>
                <w:szCs w:val="22"/>
              </w:rPr>
              <w:tab/>
              <w:t>12</w:t>
            </w:r>
            <w:r>
              <w:rPr>
                <w:webHidden/>
              </w:rPr>
              <w:fldChar w:fldCharType="end"/>
            </w:r>
          </w:hyperlink>
        </w:p>
        <w:p>
          <w:pPr>
            <w:pStyle w:val="TOC2"/>
            <w:rPr/>
          </w:pPr>
          <w:hyperlink w:anchor="_Toc230928829">
            <w:r>
              <w:rPr>
                <w:webHidden/>
                <w:rStyle w:val="Style20"/>
                <w:vanish w:val="false"/>
                <w:sz w:val="22"/>
                <w:szCs w:val="22"/>
              </w:rPr>
              <w:t>1.2</w:t>
            </w:r>
            <w:r>
              <w:rPr>
                <w:rStyle w:val="Style20"/>
                <w:rFonts w:eastAsia="" w:eastAsiaTheme="minorEastAsia"/>
                <w:kern w:val="2"/>
                <w:sz w:val="22"/>
                <w:szCs w:val="22"/>
                <w:lang w:eastAsia="ru-RU"/>
                <w14:ligatures w14:val="standardContextual"/>
              </w:rPr>
              <w:tab/>
            </w:r>
            <w:r>
              <w:rPr>
                <w:rStyle w:val="Style20"/>
                <w:sz w:val="22"/>
                <w:szCs w:val="22"/>
              </w:rPr>
              <w:t>Информация о проводимой закупке</w:t>
            </w:r>
            <w:r>
              <w:rPr>
                <w:webHidden/>
              </w:rPr>
              <w:fldChar w:fldCharType="begin"/>
            </w:r>
            <w:r>
              <w:rPr>
                <w:webHidden/>
              </w:rPr>
              <w:instrText xml:space="preserve">PAGEREF _Toc230928829 \h</w:instrText>
            </w:r>
            <w:r>
              <w:rPr>
                <w:webHidden/>
              </w:rPr>
              <w:fldChar w:fldCharType="separate"/>
            </w:r>
            <w:r>
              <w:rPr>
                <w:rStyle w:val="Style20"/>
                <w:vanish w:val="false"/>
                <w:sz w:val="22"/>
                <w:szCs w:val="22"/>
              </w:rPr>
              <w:tab/>
              <w:t>12</w:t>
            </w:r>
            <w:r>
              <w:rPr>
                <w:webHidden/>
              </w:rPr>
              <w:fldChar w:fldCharType="end"/>
            </w:r>
          </w:hyperlink>
        </w:p>
        <w:p>
          <w:pPr>
            <w:pStyle w:val="TOC1"/>
            <w:rPr/>
          </w:pPr>
          <w:hyperlink w:anchor="_Toc230928830">
            <w:r>
              <w:rPr>
                <w:webHidden/>
                <w:rStyle w:val="Style20"/>
                <w:vanish w:val="false"/>
                <w:sz w:val="22"/>
                <w:szCs w:val="22"/>
              </w:rPr>
              <w:t>2.</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Общие положения</w:t>
            </w:r>
            <w:r>
              <w:rPr>
                <w:webHidden/>
              </w:rPr>
              <w:fldChar w:fldCharType="begin"/>
            </w:r>
            <w:r>
              <w:rPr>
                <w:webHidden/>
              </w:rPr>
              <w:instrText xml:space="preserve">PAGEREF _Toc230928830 \h</w:instrText>
            </w:r>
            <w:r>
              <w:rPr>
                <w:webHidden/>
              </w:rPr>
              <w:fldChar w:fldCharType="separate"/>
            </w:r>
            <w:r>
              <w:rPr>
                <w:rStyle w:val="Style20"/>
                <w:vanish w:val="false"/>
                <w:sz w:val="22"/>
                <w:szCs w:val="22"/>
              </w:rPr>
              <w:tab/>
              <w:t>24</w:t>
            </w:r>
            <w:r>
              <w:rPr>
                <w:webHidden/>
              </w:rPr>
              <w:fldChar w:fldCharType="end"/>
            </w:r>
          </w:hyperlink>
        </w:p>
        <w:p>
          <w:pPr>
            <w:pStyle w:val="TOC2"/>
            <w:rPr/>
          </w:pPr>
          <w:hyperlink w:anchor="_Toc230928831">
            <w:r>
              <w:rPr>
                <w:webHidden/>
                <w:rStyle w:val="Style20"/>
                <w:vanish w:val="false"/>
                <w:sz w:val="22"/>
                <w:szCs w:val="22"/>
              </w:rPr>
              <w:t>2.1</w:t>
            </w:r>
            <w:r>
              <w:rPr>
                <w:rStyle w:val="Style20"/>
                <w:rFonts w:eastAsia="" w:eastAsiaTheme="minorEastAsia"/>
                <w:kern w:val="2"/>
                <w:sz w:val="22"/>
                <w:szCs w:val="22"/>
                <w:lang w:eastAsia="ru-RU"/>
                <w14:ligatures w14:val="standardContextual"/>
              </w:rPr>
              <w:tab/>
            </w:r>
            <w:r>
              <w:rPr>
                <w:rStyle w:val="Style20"/>
                <w:sz w:val="22"/>
                <w:szCs w:val="22"/>
              </w:rPr>
              <w:t>Общие сведения о закупке</w:t>
            </w:r>
            <w:r>
              <w:rPr>
                <w:webHidden/>
              </w:rPr>
              <w:fldChar w:fldCharType="begin"/>
            </w:r>
            <w:r>
              <w:rPr>
                <w:webHidden/>
              </w:rPr>
              <w:instrText xml:space="preserve">PAGEREF _Toc230928831 \h</w:instrText>
            </w:r>
            <w:r>
              <w:rPr>
                <w:webHidden/>
              </w:rPr>
              <w:fldChar w:fldCharType="separate"/>
            </w:r>
            <w:r>
              <w:rPr>
                <w:rStyle w:val="Style20"/>
                <w:vanish w:val="false"/>
                <w:sz w:val="22"/>
                <w:szCs w:val="22"/>
              </w:rPr>
              <w:tab/>
              <w:t>24</w:t>
            </w:r>
            <w:r>
              <w:rPr>
                <w:webHidden/>
              </w:rPr>
              <w:fldChar w:fldCharType="end"/>
            </w:r>
          </w:hyperlink>
        </w:p>
        <w:p>
          <w:pPr>
            <w:pStyle w:val="TOC2"/>
            <w:rPr/>
          </w:pPr>
          <w:hyperlink w:anchor="_Toc230928832">
            <w:r>
              <w:rPr>
                <w:webHidden/>
                <w:rStyle w:val="Style20"/>
                <w:vanish w:val="false"/>
                <w:sz w:val="22"/>
                <w:szCs w:val="22"/>
              </w:rPr>
              <w:t>2.2</w:t>
            </w:r>
            <w:r>
              <w:rPr>
                <w:rStyle w:val="Style20"/>
                <w:rFonts w:eastAsia="" w:eastAsiaTheme="minorEastAsia"/>
                <w:kern w:val="2"/>
                <w:sz w:val="22"/>
                <w:szCs w:val="22"/>
                <w:lang w:eastAsia="ru-RU"/>
                <w14:ligatures w14:val="standardContextual"/>
              </w:rPr>
              <w:tab/>
            </w:r>
            <w:r>
              <w:rPr>
                <w:rStyle w:val="Style20"/>
                <w:sz w:val="22"/>
                <w:szCs w:val="22"/>
              </w:rPr>
              <w:t>Правовой статус документов</w:t>
            </w:r>
            <w:r>
              <w:rPr>
                <w:webHidden/>
              </w:rPr>
              <w:fldChar w:fldCharType="begin"/>
            </w:r>
            <w:r>
              <w:rPr>
                <w:webHidden/>
              </w:rPr>
              <w:instrText xml:space="preserve">PAGEREF _Toc230928832 \h</w:instrText>
            </w:r>
            <w:r>
              <w:rPr>
                <w:webHidden/>
              </w:rPr>
              <w:fldChar w:fldCharType="separate"/>
            </w:r>
            <w:r>
              <w:rPr>
                <w:rStyle w:val="Style20"/>
                <w:vanish w:val="false"/>
                <w:sz w:val="22"/>
                <w:szCs w:val="22"/>
              </w:rPr>
              <w:tab/>
              <w:t>24</w:t>
            </w:r>
            <w:r>
              <w:rPr>
                <w:webHidden/>
              </w:rPr>
              <w:fldChar w:fldCharType="end"/>
            </w:r>
          </w:hyperlink>
        </w:p>
        <w:p>
          <w:pPr>
            <w:pStyle w:val="TOC2"/>
            <w:rPr/>
          </w:pPr>
          <w:hyperlink w:anchor="_Toc230928833">
            <w:r>
              <w:rPr>
                <w:webHidden/>
                <w:rStyle w:val="Style20"/>
                <w:vanish w:val="false"/>
                <w:sz w:val="22"/>
                <w:szCs w:val="22"/>
              </w:rPr>
              <w:t>2.3</w:t>
            </w:r>
            <w:r>
              <w:rPr>
                <w:rStyle w:val="Style20"/>
                <w:rFonts w:eastAsia="" w:eastAsiaTheme="minorEastAsia"/>
                <w:kern w:val="2"/>
                <w:sz w:val="22"/>
                <w:szCs w:val="22"/>
                <w:lang w:eastAsia="ru-RU"/>
                <w14:ligatures w14:val="standardContextual"/>
              </w:rPr>
              <w:tab/>
            </w:r>
            <w:r>
              <w:rPr>
                <w:rStyle w:val="Style20"/>
                <w:sz w:val="22"/>
                <w:szCs w:val="22"/>
              </w:rPr>
              <w:t>Обжалование</w:t>
            </w:r>
            <w:r>
              <w:rPr>
                <w:webHidden/>
              </w:rPr>
              <w:fldChar w:fldCharType="begin"/>
            </w:r>
            <w:r>
              <w:rPr>
                <w:webHidden/>
              </w:rPr>
              <w:instrText xml:space="preserve">PAGEREF _Toc230928833 \h</w:instrText>
            </w:r>
            <w:r>
              <w:rPr>
                <w:webHidden/>
              </w:rPr>
              <w:fldChar w:fldCharType="separate"/>
            </w:r>
            <w:r>
              <w:rPr>
                <w:rStyle w:val="Style20"/>
                <w:vanish w:val="false"/>
                <w:sz w:val="22"/>
                <w:szCs w:val="22"/>
              </w:rPr>
              <w:tab/>
              <w:t>25</w:t>
            </w:r>
            <w:r>
              <w:rPr>
                <w:webHidden/>
              </w:rPr>
              <w:fldChar w:fldCharType="end"/>
            </w:r>
          </w:hyperlink>
        </w:p>
        <w:p>
          <w:pPr>
            <w:pStyle w:val="TOC2"/>
            <w:rPr/>
          </w:pPr>
          <w:hyperlink w:anchor="_Toc230928834">
            <w:r>
              <w:rPr>
                <w:webHidden/>
                <w:rStyle w:val="Style20"/>
                <w:vanish w:val="false"/>
                <w:sz w:val="22"/>
                <w:szCs w:val="22"/>
              </w:rPr>
              <w:t>2.4</w:t>
            </w:r>
            <w:r>
              <w:rPr>
                <w:rStyle w:val="Style20"/>
                <w:rFonts w:eastAsia="" w:eastAsiaTheme="minorEastAsia"/>
                <w:kern w:val="2"/>
                <w:sz w:val="22"/>
                <w:szCs w:val="22"/>
                <w:lang w:eastAsia="ru-RU"/>
                <w14:ligatures w14:val="standardContextual"/>
              </w:rPr>
              <w:tab/>
            </w:r>
            <w:r>
              <w:rPr>
                <w:rStyle w:val="Style20"/>
                <w:sz w:val="22"/>
                <w:szCs w:val="22"/>
              </w:rPr>
              <w:t>Особые положения при проведении закупки с использованием ЭП</w:t>
            </w:r>
            <w:r>
              <w:rPr>
                <w:webHidden/>
              </w:rPr>
              <w:fldChar w:fldCharType="begin"/>
            </w:r>
            <w:r>
              <w:rPr>
                <w:webHidden/>
              </w:rPr>
              <w:instrText xml:space="preserve">PAGEREF _Toc230928834 \h</w:instrText>
            </w:r>
            <w:r>
              <w:rPr>
                <w:webHidden/>
              </w:rPr>
              <w:fldChar w:fldCharType="separate"/>
            </w:r>
            <w:r>
              <w:rPr>
                <w:rStyle w:val="Style20"/>
                <w:vanish w:val="false"/>
                <w:sz w:val="22"/>
                <w:szCs w:val="22"/>
              </w:rPr>
              <w:tab/>
              <w:t>26</w:t>
            </w:r>
            <w:r>
              <w:rPr>
                <w:webHidden/>
              </w:rPr>
              <w:fldChar w:fldCharType="end"/>
            </w:r>
          </w:hyperlink>
        </w:p>
        <w:p>
          <w:pPr>
            <w:pStyle w:val="TOC2"/>
            <w:rPr/>
          </w:pPr>
          <w:hyperlink w:anchor="_Toc230928835">
            <w:r>
              <w:rPr>
                <w:webHidden/>
                <w:rStyle w:val="Style20"/>
                <w:vanish w:val="false"/>
                <w:sz w:val="22"/>
                <w:szCs w:val="22"/>
              </w:rPr>
              <w:t>2.5</w:t>
            </w:r>
            <w:r>
              <w:rPr>
                <w:rStyle w:val="Style20"/>
                <w:rFonts w:eastAsia="" w:eastAsiaTheme="minorEastAsia"/>
                <w:kern w:val="2"/>
                <w:sz w:val="22"/>
                <w:szCs w:val="22"/>
                <w:lang w:eastAsia="ru-RU"/>
                <w14:ligatures w14:val="standardContextual"/>
              </w:rPr>
              <w:tab/>
            </w:r>
            <w:r>
              <w:rPr>
                <w:rStyle w:val="Style20"/>
                <w:sz w:val="22"/>
                <w:szCs w:val="22"/>
              </w:rPr>
              <w:t>Прочие положения</w:t>
            </w:r>
            <w:r>
              <w:rPr>
                <w:webHidden/>
              </w:rPr>
              <w:fldChar w:fldCharType="begin"/>
            </w:r>
            <w:r>
              <w:rPr>
                <w:webHidden/>
              </w:rPr>
              <w:instrText xml:space="preserve">PAGEREF _Toc230928835 \h</w:instrText>
            </w:r>
            <w:r>
              <w:rPr>
                <w:webHidden/>
              </w:rPr>
              <w:fldChar w:fldCharType="separate"/>
            </w:r>
            <w:r>
              <w:rPr>
                <w:rStyle w:val="Style20"/>
                <w:vanish w:val="false"/>
                <w:sz w:val="22"/>
                <w:szCs w:val="22"/>
              </w:rPr>
              <w:tab/>
              <w:t>26</w:t>
            </w:r>
            <w:r>
              <w:rPr>
                <w:webHidden/>
              </w:rPr>
              <w:fldChar w:fldCharType="end"/>
            </w:r>
          </w:hyperlink>
        </w:p>
        <w:p>
          <w:pPr>
            <w:pStyle w:val="TOC1"/>
            <w:rPr/>
          </w:pPr>
          <w:hyperlink w:anchor="_Toc230928836">
            <w:r>
              <w:rPr>
                <w:webHidden/>
                <w:rStyle w:val="Style20"/>
                <w:vanish w:val="false"/>
                <w:sz w:val="22"/>
                <w:szCs w:val="22"/>
              </w:rPr>
              <w:t>3.</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Требования к Участникам</w:t>
            </w:r>
            <w:r>
              <w:rPr>
                <w:webHidden/>
              </w:rPr>
              <w:fldChar w:fldCharType="begin"/>
            </w:r>
            <w:r>
              <w:rPr>
                <w:webHidden/>
              </w:rPr>
              <w:instrText xml:space="preserve">PAGEREF _Toc230928836 \h</w:instrText>
            </w:r>
            <w:r>
              <w:rPr>
                <w:webHidden/>
              </w:rPr>
              <w:fldChar w:fldCharType="separate"/>
            </w:r>
            <w:r>
              <w:rPr>
                <w:rStyle w:val="Style20"/>
                <w:vanish w:val="false"/>
                <w:sz w:val="22"/>
                <w:szCs w:val="22"/>
              </w:rPr>
              <w:tab/>
              <w:t>28</w:t>
            </w:r>
            <w:r>
              <w:rPr>
                <w:webHidden/>
              </w:rPr>
              <w:fldChar w:fldCharType="end"/>
            </w:r>
          </w:hyperlink>
        </w:p>
        <w:p>
          <w:pPr>
            <w:pStyle w:val="TOC2"/>
            <w:rPr/>
          </w:pPr>
          <w:hyperlink w:anchor="_Toc230928837">
            <w:r>
              <w:rPr>
                <w:webHidden/>
                <w:rStyle w:val="Style20"/>
                <w:vanish w:val="false"/>
                <w:sz w:val="22"/>
                <w:szCs w:val="22"/>
              </w:rPr>
              <w:t>3.1</w:t>
            </w:r>
            <w:r>
              <w:rPr>
                <w:rStyle w:val="Style20"/>
                <w:rFonts w:eastAsia="" w:eastAsiaTheme="minorEastAsia"/>
                <w:kern w:val="2"/>
                <w:sz w:val="22"/>
                <w:szCs w:val="22"/>
                <w:lang w:eastAsia="ru-RU"/>
                <w14:ligatures w14:val="standardContextual"/>
              </w:rPr>
              <w:tab/>
            </w:r>
            <w:r>
              <w:rPr>
                <w:rStyle w:val="Style20"/>
                <w:sz w:val="22"/>
                <w:szCs w:val="22"/>
              </w:rPr>
              <w:t>Общие требования к Участникам</w:t>
            </w:r>
            <w:r>
              <w:rPr>
                <w:webHidden/>
              </w:rPr>
              <w:fldChar w:fldCharType="begin"/>
            </w:r>
            <w:r>
              <w:rPr>
                <w:webHidden/>
              </w:rPr>
              <w:instrText xml:space="preserve">PAGEREF _Toc230928837 \h</w:instrText>
            </w:r>
            <w:r>
              <w:rPr>
                <w:webHidden/>
              </w:rPr>
              <w:fldChar w:fldCharType="separate"/>
            </w:r>
            <w:r>
              <w:rPr>
                <w:rStyle w:val="Style20"/>
                <w:vanish w:val="false"/>
                <w:sz w:val="22"/>
                <w:szCs w:val="22"/>
              </w:rPr>
              <w:tab/>
              <w:t>28</w:t>
            </w:r>
            <w:r>
              <w:rPr>
                <w:webHidden/>
              </w:rPr>
              <w:fldChar w:fldCharType="end"/>
            </w:r>
          </w:hyperlink>
        </w:p>
        <w:p>
          <w:pPr>
            <w:pStyle w:val="TOC2"/>
            <w:rPr/>
          </w:pPr>
          <w:hyperlink w:anchor="_Toc230928838">
            <w:r>
              <w:rPr>
                <w:webHidden/>
                <w:rStyle w:val="Style20"/>
                <w:vanish w:val="false"/>
                <w:sz w:val="22"/>
                <w:szCs w:val="22"/>
              </w:rPr>
              <w:t>3.2</w:t>
            </w:r>
            <w:r>
              <w:rPr>
                <w:rStyle w:val="Style20"/>
                <w:rFonts w:eastAsia="" w:eastAsiaTheme="minorEastAsia"/>
                <w:kern w:val="2"/>
                <w:sz w:val="22"/>
                <w:szCs w:val="22"/>
                <w:lang w:eastAsia="ru-RU"/>
                <w14:ligatures w14:val="standardContextual"/>
              </w:rPr>
              <w:tab/>
            </w:r>
            <w:r>
              <w:rPr>
                <w:rStyle w:val="Style20"/>
                <w:sz w:val="22"/>
                <w:szCs w:val="22"/>
              </w:rPr>
              <w:t>Коллективные участники</w:t>
            </w:r>
            <w:r>
              <w:rPr>
                <w:webHidden/>
              </w:rPr>
              <w:fldChar w:fldCharType="begin"/>
            </w:r>
            <w:r>
              <w:rPr>
                <w:webHidden/>
              </w:rPr>
              <w:instrText xml:space="preserve">PAGEREF _Toc230928838 \h</w:instrText>
            </w:r>
            <w:r>
              <w:rPr>
                <w:webHidden/>
              </w:rPr>
              <w:fldChar w:fldCharType="separate"/>
            </w:r>
            <w:r>
              <w:rPr>
                <w:rStyle w:val="Style20"/>
                <w:vanish w:val="false"/>
                <w:sz w:val="22"/>
                <w:szCs w:val="22"/>
              </w:rPr>
              <w:tab/>
              <w:t>28</w:t>
            </w:r>
            <w:r>
              <w:rPr>
                <w:webHidden/>
              </w:rPr>
              <w:fldChar w:fldCharType="end"/>
            </w:r>
          </w:hyperlink>
        </w:p>
        <w:p>
          <w:pPr>
            <w:pStyle w:val="TOC2"/>
            <w:rPr/>
          </w:pPr>
          <w:hyperlink w:anchor="_Toc230928839">
            <w:r>
              <w:rPr>
                <w:webHidden/>
                <w:rStyle w:val="Style20"/>
                <w:vanish w:val="false"/>
                <w:sz w:val="22"/>
                <w:szCs w:val="22"/>
              </w:rPr>
              <w:t>3.3</w:t>
            </w:r>
            <w:r>
              <w:rPr>
                <w:rStyle w:val="Style20"/>
                <w:rFonts w:eastAsia="" w:eastAsiaTheme="minorEastAsia"/>
                <w:kern w:val="2"/>
                <w:sz w:val="22"/>
                <w:szCs w:val="22"/>
                <w:lang w:eastAsia="ru-RU"/>
                <w14:ligatures w14:val="standardContextual"/>
              </w:rPr>
              <w:tab/>
            </w:r>
            <w:r>
              <w:rPr>
                <w:rStyle w:val="Style20"/>
                <w:sz w:val="22"/>
                <w:szCs w:val="22"/>
              </w:rPr>
              <w:t>Генеральные подрядчики</w:t>
            </w:r>
            <w:r>
              <w:rPr>
                <w:webHidden/>
              </w:rPr>
              <w:fldChar w:fldCharType="begin"/>
            </w:r>
            <w:r>
              <w:rPr>
                <w:webHidden/>
              </w:rPr>
              <w:instrText xml:space="preserve">PAGEREF _Toc230928839 \h</w:instrText>
            </w:r>
            <w:r>
              <w:rPr>
                <w:webHidden/>
              </w:rPr>
              <w:fldChar w:fldCharType="separate"/>
            </w:r>
            <w:r>
              <w:rPr>
                <w:rStyle w:val="Style20"/>
                <w:vanish w:val="false"/>
                <w:sz w:val="22"/>
                <w:szCs w:val="22"/>
              </w:rPr>
              <w:tab/>
              <w:t>30</w:t>
            </w:r>
            <w:r>
              <w:rPr>
                <w:webHidden/>
              </w:rPr>
              <w:fldChar w:fldCharType="end"/>
            </w:r>
          </w:hyperlink>
        </w:p>
        <w:p>
          <w:pPr>
            <w:pStyle w:val="TOC2"/>
            <w:rPr/>
          </w:pPr>
          <w:hyperlink w:anchor="_Toc230928840">
            <w:r>
              <w:rPr>
                <w:webHidden/>
                <w:rStyle w:val="Style20"/>
                <w:vanish w:val="false"/>
                <w:sz w:val="22"/>
                <w:szCs w:val="22"/>
              </w:rPr>
              <w:t>3.4</w:t>
            </w:r>
            <w:r>
              <w:rPr>
                <w:rStyle w:val="Style20"/>
                <w:rFonts w:eastAsia="" w:eastAsiaTheme="minorEastAsia"/>
                <w:kern w:val="2"/>
                <w:sz w:val="22"/>
                <w:szCs w:val="22"/>
                <w:lang w:eastAsia="ru-RU"/>
                <w14:ligatures w14:val="standardContextual"/>
              </w:rPr>
              <w:tab/>
            </w:r>
            <w:r>
              <w:rPr>
                <w:rStyle w:val="Style20"/>
                <w:sz w:val="22"/>
                <w:szCs w:val="22"/>
              </w:rPr>
              <w:t>Привлечение субподрядчиков (соисполнителей) из числа субъектов МСП</w:t>
            </w:r>
            <w:r>
              <w:rPr>
                <w:webHidden/>
              </w:rPr>
              <w:fldChar w:fldCharType="begin"/>
            </w:r>
            <w:r>
              <w:rPr>
                <w:webHidden/>
              </w:rPr>
              <w:instrText xml:space="preserve">PAGEREF _Toc230928840 \h</w:instrText>
            </w:r>
            <w:r>
              <w:rPr>
                <w:webHidden/>
              </w:rPr>
              <w:fldChar w:fldCharType="separate"/>
            </w:r>
            <w:r>
              <w:rPr>
                <w:rStyle w:val="Style20"/>
                <w:vanish w:val="false"/>
                <w:sz w:val="22"/>
                <w:szCs w:val="22"/>
              </w:rPr>
              <w:tab/>
              <w:t>32</w:t>
            </w:r>
            <w:r>
              <w:rPr>
                <w:webHidden/>
              </w:rPr>
              <w:fldChar w:fldCharType="end"/>
            </w:r>
          </w:hyperlink>
        </w:p>
        <w:p>
          <w:pPr>
            <w:pStyle w:val="TOC1"/>
            <w:rPr/>
          </w:pPr>
          <w:hyperlink w:anchor="_Toc230928841">
            <w:r>
              <w:rPr>
                <w:webHidden/>
                <w:rStyle w:val="Style20"/>
                <w:vanish w:val="false"/>
                <w:sz w:val="22"/>
                <w:szCs w:val="22"/>
              </w:rPr>
              <w:t>4.</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Порядок проведения закупки</w:t>
            </w:r>
            <w:r>
              <w:rPr>
                <w:webHidden/>
              </w:rPr>
              <w:fldChar w:fldCharType="begin"/>
            </w:r>
            <w:r>
              <w:rPr>
                <w:webHidden/>
              </w:rPr>
              <w:instrText xml:space="preserve">PAGEREF _Toc230928841 \h</w:instrText>
            </w:r>
            <w:r>
              <w:rPr>
                <w:webHidden/>
              </w:rPr>
              <w:fldChar w:fldCharType="separate"/>
            </w:r>
            <w:r>
              <w:rPr>
                <w:rStyle w:val="Style20"/>
                <w:vanish w:val="false"/>
                <w:sz w:val="22"/>
                <w:szCs w:val="22"/>
              </w:rPr>
              <w:tab/>
              <w:t>33</w:t>
            </w:r>
            <w:r>
              <w:rPr>
                <w:webHidden/>
              </w:rPr>
              <w:fldChar w:fldCharType="end"/>
            </w:r>
          </w:hyperlink>
        </w:p>
        <w:p>
          <w:pPr>
            <w:pStyle w:val="TOC2"/>
            <w:rPr/>
          </w:pPr>
          <w:hyperlink w:anchor="_Toc230928842">
            <w:r>
              <w:rPr>
                <w:webHidden/>
                <w:rStyle w:val="Style20"/>
                <w:vanish w:val="false"/>
                <w:sz w:val="22"/>
                <w:szCs w:val="22"/>
              </w:rPr>
              <w:t>4.1</w:t>
            </w:r>
            <w:r>
              <w:rPr>
                <w:rStyle w:val="Style20"/>
                <w:rFonts w:eastAsia="" w:eastAsiaTheme="minorEastAsia"/>
                <w:kern w:val="2"/>
                <w:sz w:val="22"/>
                <w:szCs w:val="22"/>
                <w:lang w:eastAsia="ru-RU"/>
                <w14:ligatures w14:val="standardContextual"/>
              </w:rPr>
              <w:tab/>
            </w:r>
            <w:r>
              <w:rPr>
                <w:rStyle w:val="Style20"/>
                <w:sz w:val="22"/>
                <w:szCs w:val="22"/>
              </w:rPr>
              <w:t>Общий порядок проведения закупки</w:t>
            </w:r>
            <w:r>
              <w:rPr>
                <w:webHidden/>
              </w:rPr>
              <w:fldChar w:fldCharType="begin"/>
            </w:r>
            <w:r>
              <w:rPr>
                <w:webHidden/>
              </w:rPr>
              <w:instrText xml:space="preserve">PAGEREF _Toc230928842 \h</w:instrText>
            </w:r>
            <w:r>
              <w:rPr>
                <w:webHidden/>
              </w:rPr>
              <w:fldChar w:fldCharType="separate"/>
            </w:r>
            <w:r>
              <w:rPr>
                <w:rStyle w:val="Style20"/>
                <w:vanish w:val="false"/>
                <w:sz w:val="22"/>
                <w:szCs w:val="22"/>
              </w:rPr>
              <w:tab/>
              <w:t>33</w:t>
            </w:r>
            <w:r>
              <w:rPr>
                <w:webHidden/>
              </w:rPr>
              <w:fldChar w:fldCharType="end"/>
            </w:r>
          </w:hyperlink>
        </w:p>
        <w:p>
          <w:pPr>
            <w:pStyle w:val="TOC2"/>
            <w:rPr/>
          </w:pPr>
          <w:hyperlink w:anchor="_Toc230928843">
            <w:r>
              <w:rPr>
                <w:webHidden/>
                <w:rStyle w:val="Style20"/>
                <w:vanish w:val="false"/>
                <w:sz w:val="22"/>
                <w:szCs w:val="22"/>
              </w:rPr>
              <w:t>4.2</w:t>
            </w:r>
            <w:r>
              <w:rPr>
                <w:rStyle w:val="Style20"/>
                <w:rFonts w:eastAsia="" w:eastAsiaTheme="minorEastAsia"/>
                <w:kern w:val="2"/>
                <w:sz w:val="22"/>
                <w:szCs w:val="22"/>
                <w:lang w:eastAsia="ru-RU"/>
                <w14:ligatures w14:val="standardContextual"/>
              </w:rPr>
              <w:tab/>
            </w:r>
            <w:r>
              <w:rPr>
                <w:rStyle w:val="Style20"/>
                <w:sz w:val="22"/>
                <w:szCs w:val="22"/>
              </w:rPr>
              <w:t>Официальное размещение Извещения и Документации о закупке</w:t>
            </w:r>
            <w:r>
              <w:rPr>
                <w:webHidden/>
              </w:rPr>
              <w:fldChar w:fldCharType="begin"/>
            </w:r>
            <w:r>
              <w:rPr>
                <w:webHidden/>
              </w:rPr>
              <w:instrText xml:space="preserve">PAGEREF _Toc230928843 \h</w:instrText>
            </w:r>
            <w:r>
              <w:rPr>
                <w:webHidden/>
              </w:rPr>
              <w:fldChar w:fldCharType="separate"/>
            </w:r>
            <w:r>
              <w:rPr>
                <w:rStyle w:val="Style20"/>
                <w:vanish w:val="false"/>
                <w:sz w:val="22"/>
                <w:szCs w:val="22"/>
              </w:rPr>
              <w:tab/>
              <w:t>35</w:t>
            </w:r>
            <w:r>
              <w:rPr>
                <w:webHidden/>
              </w:rPr>
              <w:fldChar w:fldCharType="end"/>
            </w:r>
          </w:hyperlink>
        </w:p>
        <w:p>
          <w:pPr>
            <w:pStyle w:val="TOC2"/>
            <w:rPr/>
          </w:pPr>
          <w:hyperlink w:anchor="_Toc230928844">
            <w:r>
              <w:rPr>
                <w:webHidden/>
                <w:rStyle w:val="Style20"/>
                <w:vanish w:val="false"/>
                <w:sz w:val="22"/>
                <w:szCs w:val="22"/>
              </w:rPr>
              <w:t>4.3</w:t>
            </w:r>
            <w:r>
              <w:rPr>
                <w:rStyle w:val="Style20"/>
                <w:rFonts w:eastAsia="" w:eastAsiaTheme="minorEastAsia"/>
                <w:kern w:val="2"/>
                <w:sz w:val="22"/>
                <w:szCs w:val="22"/>
                <w:lang w:eastAsia="ru-RU"/>
                <w14:ligatures w14:val="standardContextual"/>
              </w:rPr>
              <w:tab/>
            </w:r>
            <w:r>
              <w:rPr>
                <w:rStyle w:val="Style20"/>
                <w:sz w:val="22"/>
                <w:szCs w:val="22"/>
              </w:rPr>
              <w:t>Подготовка заявки</w:t>
            </w:r>
            <w:r>
              <w:rPr>
                <w:webHidden/>
              </w:rPr>
              <w:fldChar w:fldCharType="begin"/>
            </w:r>
            <w:r>
              <w:rPr>
                <w:webHidden/>
              </w:rPr>
              <w:instrText xml:space="preserve">PAGEREF _Toc230928844 \h</w:instrText>
            </w:r>
            <w:r>
              <w:rPr>
                <w:webHidden/>
              </w:rPr>
              <w:fldChar w:fldCharType="separate"/>
            </w:r>
            <w:r>
              <w:rPr>
                <w:rStyle w:val="Style20"/>
                <w:vanish w:val="false"/>
                <w:sz w:val="22"/>
                <w:szCs w:val="22"/>
              </w:rPr>
              <w:tab/>
              <w:t>35</w:t>
            </w:r>
            <w:r>
              <w:rPr>
                <w:webHidden/>
              </w:rPr>
              <w:fldChar w:fldCharType="end"/>
            </w:r>
          </w:hyperlink>
        </w:p>
        <w:p>
          <w:pPr>
            <w:pStyle w:val="TOC2"/>
            <w:rPr/>
          </w:pPr>
          <w:hyperlink w:anchor="_Toc230928845">
            <w:r>
              <w:rPr>
                <w:webHidden/>
                <w:rStyle w:val="Style20"/>
                <w:vanish w:val="false"/>
                <w:sz w:val="22"/>
                <w:szCs w:val="22"/>
              </w:rPr>
              <w:t>4.4</w:t>
            </w:r>
            <w:r>
              <w:rPr>
                <w:rStyle w:val="Style20"/>
                <w:rFonts w:eastAsia="" w:eastAsiaTheme="minorEastAsia"/>
                <w:kern w:val="2"/>
                <w:sz w:val="22"/>
                <w:szCs w:val="22"/>
                <w:lang w:eastAsia="ru-RU"/>
                <w14:ligatures w14:val="standardContextual"/>
              </w:rPr>
              <w:tab/>
            </w:r>
            <w:r>
              <w:rPr>
                <w:rStyle w:val="Style20"/>
                <w:sz w:val="22"/>
                <w:szCs w:val="22"/>
              </w:rPr>
              <w:t>Разъяснение Документации о закупке</w:t>
            </w:r>
            <w:r>
              <w:rPr>
                <w:webHidden/>
              </w:rPr>
              <w:fldChar w:fldCharType="begin"/>
            </w:r>
            <w:r>
              <w:rPr>
                <w:webHidden/>
              </w:rPr>
              <w:instrText xml:space="preserve">PAGEREF _Toc230928845 \h</w:instrText>
            </w:r>
            <w:r>
              <w:rPr>
                <w:webHidden/>
              </w:rPr>
              <w:fldChar w:fldCharType="separate"/>
            </w:r>
            <w:r>
              <w:rPr>
                <w:rStyle w:val="Style20"/>
                <w:vanish w:val="false"/>
                <w:sz w:val="22"/>
                <w:szCs w:val="22"/>
              </w:rPr>
              <w:tab/>
              <w:t>38</w:t>
            </w:r>
            <w:r>
              <w:rPr>
                <w:webHidden/>
              </w:rPr>
              <w:fldChar w:fldCharType="end"/>
            </w:r>
          </w:hyperlink>
        </w:p>
        <w:p>
          <w:pPr>
            <w:pStyle w:val="TOC2"/>
            <w:rPr/>
          </w:pPr>
          <w:hyperlink w:anchor="_Toc230928846">
            <w:r>
              <w:rPr>
                <w:webHidden/>
                <w:rStyle w:val="Style20"/>
                <w:vanish w:val="false"/>
                <w:sz w:val="22"/>
                <w:szCs w:val="22"/>
              </w:rPr>
              <w:t>4.5</w:t>
            </w:r>
            <w:r>
              <w:rPr>
                <w:rStyle w:val="Style20"/>
                <w:rFonts w:eastAsia="" w:eastAsiaTheme="minorEastAsia"/>
                <w:kern w:val="2"/>
                <w:sz w:val="22"/>
                <w:szCs w:val="22"/>
                <w:lang w:eastAsia="ru-RU"/>
                <w14:ligatures w14:val="standardContextual"/>
              </w:rPr>
              <w:tab/>
            </w:r>
            <w:r>
              <w:rPr>
                <w:rStyle w:val="Style20"/>
                <w:sz w:val="22"/>
                <w:szCs w:val="22"/>
              </w:rPr>
              <w:t>Изменения Извещения и (или) Документации о закупке</w:t>
            </w:r>
            <w:r>
              <w:rPr>
                <w:webHidden/>
              </w:rPr>
              <w:fldChar w:fldCharType="begin"/>
            </w:r>
            <w:r>
              <w:rPr>
                <w:webHidden/>
              </w:rPr>
              <w:instrText xml:space="preserve">PAGEREF _Toc230928846 \h</w:instrText>
            </w:r>
            <w:r>
              <w:rPr>
                <w:webHidden/>
              </w:rPr>
              <w:fldChar w:fldCharType="separate"/>
            </w:r>
            <w:r>
              <w:rPr>
                <w:rStyle w:val="Style20"/>
                <w:vanish w:val="false"/>
                <w:sz w:val="22"/>
                <w:szCs w:val="22"/>
              </w:rPr>
              <w:tab/>
              <w:t>39</w:t>
            </w:r>
            <w:r>
              <w:rPr>
                <w:webHidden/>
              </w:rPr>
              <w:fldChar w:fldCharType="end"/>
            </w:r>
          </w:hyperlink>
        </w:p>
        <w:p>
          <w:pPr>
            <w:pStyle w:val="TOC2"/>
            <w:rPr/>
          </w:pPr>
          <w:hyperlink w:anchor="_Toc230928847">
            <w:r>
              <w:rPr>
                <w:webHidden/>
                <w:rStyle w:val="Style20"/>
                <w:vanish w:val="false"/>
                <w:sz w:val="22"/>
                <w:szCs w:val="22"/>
              </w:rPr>
              <w:t>4.6</w:t>
            </w:r>
            <w:r>
              <w:rPr>
                <w:rStyle w:val="Style20"/>
                <w:rFonts w:eastAsia="" w:eastAsiaTheme="minorEastAsia"/>
                <w:kern w:val="2"/>
                <w:sz w:val="22"/>
                <w:szCs w:val="22"/>
                <w:lang w:eastAsia="ru-RU"/>
                <w14:ligatures w14:val="standardContextual"/>
              </w:rPr>
              <w:tab/>
            </w:r>
            <w:r>
              <w:rPr>
                <w:rStyle w:val="Style20"/>
                <w:sz w:val="22"/>
                <w:szCs w:val="22"/>
              </w:rPr>
              <w:t>Подача заявок и их прием</w:t>
            </w:r>
            <w:r>
              <w:rPr>
                <w:webHidden/>
              </w:rPr>
              <w:fldChar w:fldCharType="begin"/>
            </w:r>
            <w:r>
              <w:rPr>
                <w:webHidden/>
              </w:rPr>
              <w:instrText xml:space="preserve">PAGEREF _Toc230928847 \h</w:instrText>
            </w:r>
            <w:r>
              <w:rPr>
                <w:webHidden/>
              </w:rPr>
              <w:fldChar w:fldCharType="separate"/>
            </w:r>
            <w:r>
              <w:rPr>
                <w:rStyle w:val="Style20"/>
                <w:vanish w:val="false"/>
                <w:sz w:val="22"/>
                <w:szCs w:val="22"/>
              </w:rPr>
              <w:tab/>
              <w:t>39</w:t>
            </w:r>
            <w:r>
              <w:rPr>
                <w:webHidden/>
              </w:rPr>
              <w:fldChar w:fldCharType="end"/>
            </w:r>
          </w:hyperlink>
        </w:p>
        <w:p>
          <w:pPr>
            <w:pStyle w:val="TOC2"/>
            <w:rPr/>
          </w:pPr>
          <w:hyperlink w:anchor="_Toc230928848">
            <w:r>
              <w:rPr>
                <w:webHidden/>
                <w:rStyle w:val="Style20"/>
                <w:vanish w:val="false"/>
                <w:sz w:val="22"/>
                <w:szCs w:val="22"/>
              </w:rPr>
              <w:t>4.7</w:t>
            </w:r>
            <w:r>
              <w:rPr>
                <w:rStyle w:val="Style20"/>
                <w:rFonts w:eastAsia="" w:eastAsiaTheme="minorEastAsia"/>
                <w:kern w:val="2"/>
                <w:sz w:val="22"/>
                <w:szCs w:val="22"/>
                <w:lang w:eastAsia="ru-RU"/>
                <w14:ligatures w14:val="standardContextual"/>
              </w:rPr>
              <w:tab/>
            </w:r>
            <w:r>
              <w:rPr>
                <w:rStyle w:val="Style20"/>
                <w:sz w:val="22"/>
                <w:szCs w:val="22"/>
              </w:rPr>
              <w:t>Изменение и отзыв заявок</w:t>
            </w:r>
            <w:r>
              <w:rPr>
                <w:webHidden/>
              </w:rPr>
              <w:fldChar w:fldCharType="begin"/>
            </w:r>
            <w:r>
              <w:rPr>
                <w:webHidden/>
              </w:rPr>
              <w:instrText xml:space="preserve">PAGEREF _Toc230928848 \h</w:instrText>
            </w:r>
            <w:r>
              <w:rPr>
                <w:webHidden/>
              </w:rPr>
              <w:fldChar w:fldCharType="separate"/>
            </w:r>
            <w:r>
              <w:rPr>
                <w:rStyle w:val="Style20"/>
                <w:vanish w:val="false"/>
                <w:sz w:val="22"/>
                <w:szCs w:val="22"/>
              </w:rPr>
              <w:tab/>
              <w:t>40</w:t>
            </w:r>
            <w:r>
              <w:rPr>
                <w:webHidden/>
              </w:rPr>
              <w:fldChar w:fldCharType="end"/>
            </w:r>
          </w:hyperlink>
        </w:p>
        <w:p>
          <w:pPr>
            <w:pStyle w:val="TOC2"/>
            <w:rPr/>
          </w:pPr>
          <w:hyperlink w:anchor="_Toc230928849">
            <w:r>
              <w:rPr>
                <w:webHidden/>
                <w:rStyle w:val="Style20"/>
                <w:vanish w:val="false"/>
                <w:sz w:val="22"/>
                <w:szCs w:val="22"/>
              </w:rPr>
              <w:t>4.8</w:t>
            </w:r>
            <w:r>
              <w:rPr>
                <w:rStyle w:val="Style20"/>
                <w:rFonts w:eastAsia="" w:eastAsiaTheme="minorEastAsia"/>
                <w:kern w:val="2"/>
                <w:sz w:val="22"/>
                <w:szCs w:val="22"/>
                <w:lang w:eastAsia="ru-RU"/>
                <w14:ligatures w14:val="standardContextual"/>
              </w:rPr>
              <w:tab/>
            </w:r>
            <w:r>
              <w:rPr>
                <w:rStyle w:val="Style20"/>
                <w:sz w:val="22"/>
                <w:szCs w:val="22"/>
              </w:rPr>
              <w:t>Открытие доступа к заявкам</w:t>
            </w:r>
            <w:r>
              <w:rPr>
                <w:webHidden/>
              </w:rPr>
              <w:fldChar w:fldCharType="begin"/>
            </w:r>
            <w:r>
              <w:rPr>
                <w:webHidden/>
              </w:rPr>
              <w:instrText xml:space="preserve">PAGEREF _Toc230928849 \h</w:instrText>
            </w:r>
            <w:r>
              <w:rPr>
                <w:webHidden/>
              </w:rPr>
              <w:fldChar w:fldCharType="separate"/>
            </w:r>
            <w:r>
              <w:rPr>
                <w:rStyle w:val="Style20"/>
                <w:vanish w:val="false"/>
                <w:sz w:val="22"/>
                <w:szCs w:val="22"/>
              </w:rPr>
              <w:tab/>
              <w:t>40</w:t>
            </w:r>
            <w:r>
              <w:rPr>
                <w:webHidden/>
              </w:rPr>
              <w:fldChar w:fldCharType="end"/>
            </w:r>
          </w:hyperlink>
        </w:p>
        <w:p>
          <w:pPr>
            <w:pStyle w:val="TOC2"/>
            <w:rPr/>
          </w:pPr>
          <w:hyperlink w:anchor="_Toc230928850">
            <w:r>
              <w:rPr>
                <w:webHidden/>
                <w:rStyle w:val="Style20"/>
                <w:vanish w:val="false"/>
                <w:sz w:val="22"/>
                <w:szCs w:val="22"/>
              </w:rPr>
              <w:t>4.9</w:t>
            </w:r>
            <w:r>
              <w:rPr>
                <w:rStyle w:val="Style20"/>
                <w:rFonts w:eastAsia="" w:eastAsiaTheme="minorEastAsia"/>
                <w:kern w:val="2"/>
                <w:sz w:val="22"/>
                <w:szCs w:val="22"/>
                <w:lang w:eastAsia="ru-RU"/>
                <w14:ligatures w14:val="standardContextual"/>
              </w:rPr>
              <w:tab/>
            </w:r>
            <w:r>
              <w:rPr>
                <w:rStyle w:val="Style20"/>
                <w:sz w:val="22"/>
                <w:szCs w:val="22"/>
              </w:rPr>
              <w:t>Рассмотрение заявок (отборочная стадия), в том числе (при необходимости) проведение аккредитации</w:t>
            </w:r>
            <w:r>
              <w:rPr>
                <w:webHidden/>
              </w:rPr>
              <w:fldChar w:fldCharType="begin"/>
            </w:r>
            <w:r>
              <w:rPr>
                <w:webHidden/>
              </w:rPr>
              <w:instrText xml:space="preserve">PAGEREF _Toc230928850 \h</w:instrText>
            </w:r>
            <w:r>
              <w:rPr>
                <w:webHidden/>
              </w:rPr>
              <w:fldChar w:fldCharType="separate"/>
            </w:r>
            <w:r>
              <w:rPr>
                <w:rStyle w:val="Style20"/>
                <w:vanish w:val="false"/>
                <w:sz w:val="22"/>
                <w:szCs w:val="22"/>
              </w:rPr>
              <w:tab/>
              <w:t>41</w:t>
            </w:r>
            <w:r>
              <w:rPr>
                <w:webHidden/>
              </w:rPr>
              <w:fldChar w:fldCharType="end"/>
            </w:r>
          </w:hyperlink>
        </w:p>
        <w:p>
          <w:pPr>
            <w:pStyle w:val="TOC2"/>
            <w:rPr/>
          </w:pPr>
          <w:hyperlink w:anchor="_Toc230928851">
            <w:r>
              <w:rPr>
                <w:webHidden/>
                <w:rStyle w:val="Style20"/>
                <w:vanish w:val="false"/>
                <w:sz w:val="22"/>
                <w:szCs w:val="22"/>
              </w:rPr>
              <w:t>4.10</w:t>
            </w:r>
            <w:r>
              <w:rPr>
                <w:rStyle w:val="Style20"/>
                <w:rFonts w:eastAsia="" w:eastAsiaTheme="minorEastAsia"/>
                <w:kern w:val="2"/>
                <w:sz w:val="22"/>
                <w:szCs w:val="22"/>
                <w:lang w:eastAsia="ru-RU"/>
                <w14:ligatures w14:val="standardContextual"/>
              </w:rPr>
              <w:tab/>
            </w:r>
            <w:r>
              <w:rPr>
                <w:rStyle w:val="Style20"/>
                <w:sz w:val="22"/>
                <w:szCs w:val="22"/>
              </w:rPr>
              <w:t>Дополнительные запросы разъяснений заявок</w:t>
            </w:r>
            <w:r>
              <w:rPr>
                <w:webHidden/>
              </w:rPr>
              <w:fldChar w:fldCharType="begin"/>
            </w:r>
            <w:r>
              <w:rPr>
                <w:webHidden/>
              </w:rPr>
              <w:instrText xml:space="preserve">PAGEREF _Toc230928851 \h</w:instrText>
            </w:r>
            <w:r>
              <w:rPr>
                <w:webHidden/>
              </w:rPr>
              <w:fldChar w:fldCharType="separate"/>
            </w:r>
            <w:r>
              <w:rPr>
                <w:rStyle w:val="Style20"/>
                <w:vanish w:val="false"/>
                <w:sz w:val="22"/>
                <w:szCs w:val="22"/>
              </w:rPr>
              <w:tab/>
              <w:t>43</w:t>
            </w:r>
            <w:r>
              <w:rPr>
                <w:webHidden/>
              </w:rPr>
              <w:fldChar w:fldCharType="end"/>
            </w:r>
          </w:hyperlink>
        </w:p>
        <w:p>
          <w:pPr>
            <w:pStyle w:val="TOC2"/>
            <w:rPr/>
          </w:pPr>
          <w:hyperlink w:anchor="_Toc230928852">
            <w:r>
              <w:rPr>
                <w:webHidden/>
                <w:rStyle w:val="Style20"/>
                <w:vanish w:val="false"/>
                <w:sz w:val="22"/>
                <w:szCs w:val="22"/>
              </w:rPr>
              <w:t>4.11</w:t>
            </w:r>
            <w:r>
              <w:rPr>
                <w:rStyle w:val="Style20"/>
                <w:rFonts w:eastAsia="" w:eastAsiaTheme="minorEastAsia"/>
                <w:kern w:val="2"/>
                <w:sz w:val="22"/>
                <w:szCs w:val="22"/>
                <w:lang w:eastAsia="ru-RU"/>
                <w14:ligatures w14:val="standardContextual"/>
              </w:rPr>
              <w:tab/>
            </w:r>
            <w:r>
              <w:rPr>
                <w:rStyle w:val="Style20"/>
                <w:sz w:val="22"/>
                <w:szCs w:val="22"/>
              </w:rPr>
              <w:t>Переторжка</w:t>
            </w:r>
            <w:r>
              <w:rPr>
                <w:webHidden/>
              </w:rPr>
              <w:fldChar w:fldCharType="begin"/>
            </w:r>
            <w:r>
              <w:rPr>
                <w:webHidden/>
              </w:rPr>
              <w:instrText xml:space="preserve">PAGEREF _Toc230928852 \h</w:instrText>
            </w:r>
            <w:r>
              <w:rPr>
                <w:webHidden/>
              </w:rPr>
              <w:fldChar w:fldCharType="separate"/>
            </w:r>
            <w:r>
              <w:rPr>
                <w:rStyle w:val="Style20"/>
                <w:vanish w:val="false"/>
                <w:sz w:val="22"/>
                <w:szCs w:val="22"/>
              </w:rPr>
              <w:tab/>
              <w:t>45</w:t>
            </w:r>
            <w:r>
              <w:rPr>
                <w:webHidden/>
              </w:rPr>
              <w:fldChar w:fldCharType="end"/>
            </w:r>
          </w:hyperlink>
        </w:p>
        <w:p>
          <w:pPr>
            <w:pStyle w:val="TOC2"/>
            <w:rPr/>
          </w:pPr>
          <w:hyperlink w:anchor="_Toc230928853">
            <w:r>
              <w:rPr>
                <w:webHidden/>
                <w:rStyle w:val="Style20"/>
                <w:vanish w:val="false"/>
                <w:sz w:val="22"/>
                <w:szCs w:val="22"/>
              </w:rPr>
              <w:t>4.12</w:t>
            </w:r>
            <w:r>
              <w:rPr>
                <w:rStyle w:val="Style20"/>
                <w:rFonts w:eastAsia="" w:eastAsiaTheme="minorEastAsia"/>
                <w:kern w:val="2"/>
                <w:sz w:val="22"/>
                <w:szCs w:val="22"/>
                <w:lang w:eastAsia="ru-RU"/>
                <w14:ligatures w14:val="standardContextual"/>
              </w:rPr>
              <w:tab/>
            </w:r>
            <w:r>
              <w:rPr>
                <w:rStyle w:val="Style20"/>
                <w:sz w:val="22"/>
                <w:szCs w:val="22"/>
              </w:rPr>
              <w:t>Оценка и сопоставление заявок</w:t>
            </w:r>
            <w:r>
              <w:rPr>
                <w:webHidden/>
              </w:rPr>
              <w:fldChar w:fldCharType="begin"/>
            </w:r>
            <w:r>
              <w:rPr>
                <w:webHidden/>
              </w:rPr>
              <w:instrText xml:space="preserve">PAGEREF _Toc230928853 \h</w:instrText>
            </w:r>
            <w:r>
              <w:rPr>
                <w:webHidden/>
              </w:rPr>
              <w:fldChar w:fldCharType="separate"/>
            </w:r>
            <w:r>
              <w:rPr>
                <w:rStyle w:val="Style20"/>
                <w:vanish w:val="false"/>
                <w:sz w:val="22"/>
                <w:szCs w:val="22"/>
              </w:rPr>
              <w:tab/>
              <w:t>47</w:t>
            </w:r>
            <w:r>
              <w:rPr>
                <w:webHidden/>
              </w:rPr>
              <w:fldChar w:fldCharType="end"/>
            </w:r>
          </w:hyperlink>
        </w:p>
        <w:p>
          <w:pPr>
            <w:pStyle w:val="TOC2"/>
            <w:rPr/>
          </w:pPr>
          <w:hyperlink w:anchor="_Toc230928854">
            <w:r>
              <w:rPr>
                <w:webHidden/>
                <w:rStyle w:val="Style20"/>
                <w:vanish w:val="false"/>
                <w:sz w:val="22"/>
                <w:szCs w:val="22"/>
              </w:rPr>
              <w:t>4.13</w:t>
            </w:r>
            <w:r>
              <w:rPr>
                <w:rStyle w:val="Style20"/>
                <w:rFonts w:eastAsia="" w:eastAsiaTheme="minorEastAsia"/>
                <w:kern w:val="2"/>
                <w:sz w:val="22"/>
                <w:szCs w:val="22"/>
                <w:lang w:eastAsia="ru-RU"/>
                <w14:ligatures w14:val="standardContextual"/>
              </w:rPr>
              <w:tab/>
            </w:r>
            <w:r>
              <w:rPr>
                <w:rStyle w:val="Style20"/>
                <w:sz w:val="22"/>
                <w:szCs w:val="22"/>
              </w:rPr>
              <w:t>Применение законодательства о национальном режиме</w:t>
            </w:r>
            <w:r>
              <w:rPr>
                <w:webHidden/>
              </w:rPr>
              <w:fldChar w:fldCharType="begin"/>
            </w:r>
            <w:r>
              <w:rPr>
                <w:webHidden/>
              </w:rPr>
              <w:instrText xml:space="preserve">PAGEREF _Toc230928854 \h</w:instrText>
            </w:r>
            <w:r>
              <w:rPr>
                <w:webHidden/>
              </w:rPr>
              <w:fldChar w:fldCharType="separate"/>
            </w:r>
            <w:r>
              <w:rPr>
                <w:rStyle w:val="Style20"/>
                <w:vanish w:val="false"/>
                <w:sz w:val="22"/>
                <w:szCs w:val="22"/>
              </w:rPr>
              <w:tab/>
              <w:t>48</w:t>
            </w:r>
            <w:r>
              <w:rPr>
                <w:webHidden/>
              </w:rPr>
              <w:fldChar w:fldCharType="end"/>
            </w:r>
          </w:hyperlink>
        </w:p>
        <w:p>
          <w:pPr>
            <w:pStyle w:val="TOC2"/>
            <w:rPr/>
          </w:pPr>
          <w:hyperlink w:anchor="_Toc230928855">
            <w:r>
              <w:rPr>
                <w:webHidden/>
                <w:rStyle w:val="Style20"/>
                <w:vanish w:val="false"/>
                <w:sz w:val="22"/>
                <w:szCs w:val="22"/>
              </w:rPr>
              <w:t>4.14</w:t>
            </w:r>
            <w:r>
              <w:rPr>
                <w:rStyle w:val="Style20"/>
                <w:rFonts w:eastAsia="" w:eastAsiaTheme="minorEastAsia"/>
                <w:kern w:val="2"/>
                <w:sz w:val="22"/>
                <w:szCs w:val="22"/>
                <w:lang w:eastAsia="ru-RU"/>
                <w14:ligatures w14:val="standardContextual"/>
              </w:rPr>
              <w:tab/>
            </w:r>
            <w:r>
              <w:rPr>
                <w:rStyle w:val="Style20"/>
                <w:sz w:val="22"/>
                <w:szCs w:val="22"/>
              </w:rPr>
              <w:t>Подведение итогов закупки (определение Победителя)</w:t>
            </w:r>
            <w:r>
              <w:rPr>
                <w:webHidden/>
              </w:rPr>
              <w:fldChar w:fldCharType="begin"/>
            </w:r>
            <w:r>
              <w:rPr>
                <w:webHidden/>
              </w:rPr>
              <w:instrText xml:space="preserve">PAGEREF _Toc230928855 \h</w:instrText>
            </w:r>
            <w:r>
              <w:rPr>
                <w:webHidden/>
              </w:rPr>
              <w:fldChar w:fldCharType="separate"/>
            </w:r>
            <w:r>
              <w:rPr>
                <w:rStyle w:val="Style20"/>
                <w:vanish w:val="false"/>
                <w:sz w:val="22"/>
                <w:szCs w:val="22"/>
              </w:rPr>
              <w:tab/>
              <w:t>50</w:t>
            </w:r>
            <w:r>
              <w:rPr>
                <w:webHidden/>
              </w:rPr>
              <w:fldChar w:fldCharType="end"/>
            </w:r>
          </w:hyperlink>
        </w:p>
        <w:p>
          <w:pPr>
            <w:pStyle w:val="TOC2"/>
            <w:rPr/>
          </w:pPr>
          <w:hyperlink w:anchor="_Toc230928856">
            <w:r>
              <w:rPr>
                <w:webHidden/>
                <w:rStyle w:val="Style20"/>
                <w:vanish w:val="false"/>
                <w:sz w:val="22"/>
                <w:szCs w:val="22"/>
              </w:rPr>
              <w:t>4.15</w:t>
            </w:r>
            <w:r>
              <w:rPr>
                <w:rStyle w:val="Style20"/>
                <w:rFonts w:eastAsia="" w:eastAsiaTheme="minorEastAsia"/>
                <w:kern w:val="2"/>
                <w:sz w:val="22"/>
                <w:szCs w:val="22"/>
                <w:lang w:eastAsia="ru-RU"/>
                <w14:ligatures w14:val="standardContextual"/>
              </w:rPr>
              <w:tab/>
            </w:r>
            <w:r>
              <w:rPr>
                <w:rStyle w:val="Style20"/>
                <w:sz w:val="22"/>
                <w:szCs w:val="22"/>
              </w:rPr>
              <w:t>Признание закупки несостоявшейся</w:t>
            </w:r>
            <w:r>
              <w:rPr>
                <w:webHidden/>
              </w:rPr>
              <w:fldChar w:fldCharType="begin"/>
            </w:r>
            <w:r>
              <w:rPr>
                <w:webHidden/>
              </w:rPr>
              <w:instrText xml:space="preserve">PAGEREF _Toc230928856 \h</w:instrText>
            </w:r>
            <w:r>
              <w:rPr>
                <w:webHidden/>
              </w:rPr>
              <w:fldChar w:fldCharType="separate"/>
            </w:r>
            <w:r>
              <w:rPr>
                <w:rStyle w:val="Style20"/>
                <w:vanish w:val="false"/>
                <w:sz w:val="22"/>
                <w:szCs w:val="22"/>
              </w:rPr>
              <w:tab/>
              <w:t>51</w:t>
            </w:r>
            <w:r>
              <w:rPr>
                <w:webHidden/>
              </w:rPr>
              <w:fldChar w:fldCharType="end"/>
            </w:r>
          </w:hyperlink>
        </w:p>
        <w:p>
          <w:pPr>
            <w:pStyle w:val="TOC2"/>
            <w:rPr/>
          </w:pPr>
          <w:hyperlink w:anchor="_Toc230928857">
            <w:r>
              <w:rPr>
                <w:webHidden/>
                <w:rStyle w:val="Style20"/>
                <w:vanish w:val="false"/>
                <w:sz w:val="22"/>
                <w:szCs w:val="22"/>
              </w:rPr>
              <w:t>4.16</w:t>
            </w:r>
            <w:r>
              <w:rPr>
                <w:rStyle w:val="Style20"/>
                <w:rFonts w:eastAsia="" w:eastAsiaTheme="minorEastAsia"/>
                <w:kern w:val="2"/>
                <w:sz w:val="22"/>
                <w:szCs w:val="22"/>
                <w:lang w:eastAsia="ru-RU"/>
                <w14:ligatures w14:val="standardContextual"/>
              </w:rPr>
              <w:tab/>
            </w:r>
            <w:r>
              <w:rPr>
                <w:rStyle w:val="Style20"/>
                <w:sz w:val="22"/>
                <w:szCs w:val="22"/>
              </w:rPr>
              <w:t>Отказ от проведения закупки (отмена закупки)</w:t>
            </w:r>
            <w:r>
              <w:rPr>
                <w:webHidden/>
              </w:rPr>
              <w:fldChar w:fldCharType="begin"/>
            </w:r>
            <w:r>
              <w:rPr>
                <w:webHidden/>
              </w:rPr>
              <w:instrText xml:space="preserve">PAGEREF _Toc230928857 \h</w:instrText>
            </w:r>
            <w:r>
              <w:rPr>
                <w:webHidden/>
              </w:rPr>
              <w:fldChar w:fldCharType="separate"/>
            </w:r>
            <w:r>
              <w:rPr>
                <w:rStyle w:val="Style20"/>
                <w:vanish w:val="false"/>
                <w:sz w:val="22"/>
                <w:szCs w:val="22"/>
              </w:rPr>
              <w:tab/>
              <w:t>53</w:t>
            </w:r>
            <w:r>
              <w:rPr>
                <w:webHidden/>
              </w:rPr>
              <w:fldChar w:fldCharType="end"/>
            </w:r>
          </w:hyperlink>
        </w:p>
        <w:p>
          <w:pPr>
            <w:pStyle w:val="TOC2"/>
            <w:rPr/>
          </w:pPr>
          <w:hyperlink w:anchor="_Toc230928858">
            <w:r>
              <w:rPr>
                <w:webHidden/>
                <w:rStyle w:val="Style20"/>
                <w:vanish w:val="false"/>
                <w:sz w:val="22"/>
                <w:szCs w:val="22"/>
              </w:rPr>
              <w:t>4.17</w:t>
            </w:r>
            <w:r>
              <w:rPr>
                <w:rStyle w:val="Style20"/>
                <w:rFonts w:eastAsia="" w:eastAsiaTheme="minorEastAsia"/>
                <w:kern w:val="2"/>
                <w:sz w:val="22"/>
                <w:szCs w:val="22"/>
                <w:lang w:eastAsia="ru-RU"/>
                <w14:ligatures w14:val="standardContextual"/>
              </w:rPr>
              <w:tab/>
            </w:r>
            <w:r>
              <w:rPr>
                <w:rStyle w:val="Style20"/>
                <w:sz w:val="22"/>
                <w:szCs w:val="22"/>
              </w:rPr>
              <w:t>Особенности проведения закупки с необходимостью обеспечения заявки</w:t>
            </w:r>
            <w:r>
              <w:rPr>
                <w:webHidden/>
              </w:rPr>
              <w:fldChar w:fldCharType="begin"/>
            </w:r>
            <w:r>
              <w:rPr>
                <w:webHidden/>
              </w:rPr>
              <w:instrText xml:space="preserve">PAGEREF _Toc230928858 \h</w:instrText>
            </w:r>
            <w:r>
              <w:rPr>
                <w:webHidden/>
              </w:rPr>
              <w:fldChar w:fldCharType="separate"/>
            </w:r>
            <w:r>
              <w:rPr>
                <w:rStyle w:val="Style20"/>
                <w:vanish w:val="false"/>
                <w:sz w:val="22"/>
                <w:szCs w:val="22"/>
              </w:rPr>
              <w:tab/>
              <w:t>53</w:t>
            </w:r>
            <w:r>
              <w:rPr>
                <w:webHidden/>
              </w:rPr>
              <w:fldChar w:fldCharType="end"/>
            </w:r>
          </w:hyperlink>
        </w:p>
        <w:p>
          <w:pPr>
            <w:pStyle w:val="TOC2"/>
            <w:rPr/>
          </w:pPr>
          <w:hyperlink w:anchor="_Toc230928859">
            <w:r>
              <w:rPr>
                <w:webHidden/>
                <w:rStyle w:val="Style20"/>
                <w:vanish w:val="false"/>
                <w:sz w:val="22"/>
                <w:szCs w:val="22"/>
              </w:rPr>
              <w:t>4.18</w:t>
            </w:r>
            <w:r>
              <w:rPr>
                <w:rStyle w:val="Style20"/>
                <w:rFonts w:eastAsia="" w:eastAsiaTheme="minorEastAsia"/>
                <w:kern w:val="2"/>
                <w:sz w:val="22"/>
                <w:szCs w:val="22"/>
                <w:lang w:eastAsia="ru-RU"/>
                <w14:ligatures w14:val="standardContextual"/>
              </w:rPr>
              <w:tab/>
            </w:r>
            <w:r>
              <w:rPr>
                <w:rStyle w:val="Style20"/>
                <w:sz w:val="22"/>
                <w:szCs w:val="22"/>
              </w:rPr>
              <w:t>Особенности проведения многолотовой закупки</w:t>
            </w:r>
            <w:r>
              <w:rPr>
                <w:webHidden/>
              </w:rPr>
              <w:fldChar w:fldCharType="begin"/>
            </w:r>
            <w:r>
              <w:rPr>
                <w:webHidden/>
              </w:rPr>
              <w:instrText xml:space="preserve">PAGEREF _Toc230928859 \h</w:instrText>
            </w:r>
            <w:r>
              <w:rPr>
                <w:webHidden/>
              </w:rPr>
              <w:fldChar w:fldCharType="separate"/>
            </w:r>
            <w:r>
              <w:rPr>
                <w:rStyle w:val="Style20"/>
                <w:vanish w:val="false"/>
                <w:sz w:val="22"/>
                <w:szCs w:val="22"/>
              </w:rPr>
              <w:tab/>
              <w:t>56</w:t>
            </w:r>
            <w:r>
              <w:rPr>
                <w:webHidden/>
              </w:rPr>
              <w:fldChar w:fldCharType="end"/>
            </w:r>
          </w:hyperlink>
        </w:p>
        <w:p>
          <w:pPr>
            <w:pStyle w:val="TOC2"/>
            <w:rPr/>
          </w:pPr>
          <w:hyperlink w:anchor="_Toc230928860">
            <w:r>
              <w:rPr>
                <w:webHidden/>
                <w:rStyle w:val="Style20"/>
                <w:vanish w:val="false"/>
                <w:sz w:val="22"/>
                <w:szCs w:val="22"/>
              </w:rPr>
              <w:t>4.19</w:t>
            </w:r>
            <w:r>
              <w:rPr>
                <w:rStyle w:val="Style20"/>
                <w:rFonts w:eastAsia="" w:eastAsiaTheme="minorEastAsia"/>
                <w:kern w:val="2"/>
                <w:sz w:val="22"/>
                <w:szCs w:val="22"/>
                <w:lang w:eastAsia="ru-RU"/>
                <w14:ligatures w14:val="standardContextual"/>
              </w:rPr>
              <w:tab/>
            </w:r>
            <w:r>
              <w:rPr>
                <w:rStyle w:val="Style20"/>
                <w:sz w:val="22"/>
                <w:szCs w:val="22"/>
              </w:rPr>
              <w:t>Особенности проведения закупки с возможностью подачи альтернативных предложений</w:t>
            </w:r>
            <w:r>
              <w:rPr>
                <w:webHidden/>
              </w:rPr>
              <w:fldChar w:fldCharType="begin"/>
            </w:r>
            <w:r>
              <w:rPr>
                <w:webHidden/>
              </w:rPr>
              <w:instrText xml:space="preserve">PAGEREF _Toc230928860 \h</w:instrText>
            </w:r>
            <w:r>
              <w:rPr>
                <w:webHidden/>
              </w:rPr>
              <w:fldChar w:fldCharType="separate"/>
            </w:r>
            <w:r>
              <w:rPr>
                <w:rStyle w:val="Style20"/>
                <w:vanish w:val="false"/>
                <w:sz w:val="22"/>
                <w:szCs w:val="22"/>
              </w:rPr>
              <w:tab/>
              <w:t>57</w:t>
            </w:r>
            <w:r>
              <w:rPr>
                <w:webHidden/>
              </w:rPr>
              <w:fldChar w:fldCharType="end"/>
            </w:r>
          </w:hyperlink>
        </w:p>
        <w:p>
          <w:pPr>
            <w:pStyle w:val="TOC1"/>
            <w:rPr/>
          </w:pPr>
          <w:hyperlink w:anchor="_Toc230928861">
            <w:r>
              <w:rPr>
                <w:webHidden/>
                <w:rStyle w:val="Style20"/>
                <w:vanish w:val="false"/>
                <w:sz w:val="22"/>
                <w:szCs w:val="22"/>
              </w:rPr>
              <w:t>5.</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Порядок заключения Договора</w:t>
            </w:r>
            <w:r>
              <w:rPr>
                <w:webHidden/>
              </w:rPr>
              <w:fldChar w:fldCharType="begin"/>
            </w:r>
            <w:r>
              <w:rPr>
                <w:webHidden/>
              </w:rPr>
              <w:instrText xml:space="preserve">PAGEREF _Toc230928861 \h</w:instrText>
            </w:r>
            <w:r>
              <w:rPr>
                <w:webHidden/>
              </w:rPr>
              <w:fldChar w:fldCharType="separate"/>
            </w:r>
            <w:r>
              <w:rPr>
                <w:rStyle w:val="Style20"/>
                <w:vanish w:val="false"/>
                <w:sz w:val="22"/>
                <w:szCs w:val="22"/>
              </w:rPr>
              <w:tab/>
              <w:t>58</w:t>
            </w:r>
            <w:r>
              <w:rPr>
                <w:webHidden/>
              </w:rPr>
              <w:fldChar w:fldCharType="end"/>
            </w:r>
          </w:hyperlink>
        </w:p>
        <w:p>
          <w:pPr>
            <w:pStyle w:val="TOC2"/>
            <w:rPr/>
          </w:pPr>
          <w:hyperlink w:anchor="_Toc230928862">
            <w:r>
              <w:rPr>
                <w:webHidden/>
                <w:rStyle w:val="Style20"/>
                <w:vanish w:val="false"/>
                <w:sz w:val="22"/>
                <w:szCs w:val="22"/>
              </w:rPr>
              <w:t>5.1</w:t>
            </w:r>
            <w:r>
              <w:rPr>
                <w:rStyle w:val="Style20"/>
                <w:rFonts w:eastAsia="" w:eastAsiaTheme="minorEastAsia"/>
                <w:kern w:val="2"/>
                <w:sz w:val="22"/>
                <w:szCs w:val="22"/>
                <w:lang w:eastAsia="ru-RU"/>
                <w14:ligatures w14:val="standardContextual"/>
              </w:rPr>
              <w:tab/>
            </w:r>
            <w:r>
              <w:rPr>
                <w:rStyle w:val="Style20"/>
                <w:sz w:val="22"/>
                <w:szCs w:val="22"/>
              </w:rPr>
              <w:t>Общие положения</w:t>
            </w:r>
            <w:r>
              <w:rPr>
                <w:webHidden/>
              </w:rPr>
              <w:fldChar w:fldCharType="begin"/>
            </w:r>
            <w:r>
              <w:rPr>
                <w:webHidden/>
              </w:rPr>
              <w:instrText xml:space="preserve">PAGEREF _Toc230928862 \h</w:instrText>
            </w:r>
            <w:r>
              <w:rPr>
                <w:webHidden/>
              </w:rPr>
              <w:fldChar w:fldCharType="separate"/>
            </w:r>
            <w:r>
              <w:rPr>
                <w:rStyle w:val="Style20"/>
                <w:vanish w:val="false"/>
                <w:sz w:val="22"/>
                <w:szCs w:val="22"/>
              </w:rPr>
              <w:tab/>
              <w:t>58</w:t>
            </w:r>
            <w:r>
              <w:rPr>
                <w:webHidden/>
              </w:rPr>
              <w:fldChar w:fldCharType="end"/>
            </w:r>
          </w:hyperlink>
        </w:p>
        <w:p>
          <w:pPr>
            <w:pStyle w:val="TOC2"/>
            <w:rPr/>
          </w:pPr>
          <w:hyperlink w:anchor="_Toc230928863">
            <w:r>
              <w:rPr>
                <w:webHidden/>
                <w:rStyle w:val="Style20"/>
                <w:vanish w:val="false"/>
                <w:sz w:val="22"/>
                <w:szCs w:val="22"/>
              </w:rPr>
              <w:t>5.2</w:t>
            </w:r>
            <w:r>
              <w:rPr>
                <w:rStyle w:val="Style20"/>
                <w:rFonts w:eastAsia="" w:eastAsiaTheme="minorEastAsia"/>
                <w:kern w:val="2"/>
                <w:sz w:val="22"/>
                <w:szCs w:val="22"/>
                <w:lang w:eastAsia="ru-RU"/>
                <w14:ligatures w14:val="standardContextual"/>
              </w:rPr>
              <w:tab/>
            </w:r>
            <w:r>
              <w:rPr>
                <w:rStyle w:val="Style20"/>
                <w:sz w:val="22"/>
                <w:szCs w:val="22"/>
              </w:rPr>
              <w:t>Заключение Договора</w:t>
            </w:r>
            <w:r>
              <w:rPr>
                <w:webHidden/>
              </w:rPr>
              <w:fldChar w:fldCharType="begin"/>
            </w:r>
            <w:r>
              <w:rPr>
                <w:webHidden/>
              </w:rPr>
              <w:instrText xml:space="preserve">PAGEREF _Toc230928863 \h</w:instrText>
            </w:r>
            <w:r>
              <w:rPr>
                <w:webHidden/>
              </w:rPr>
              <w:fldChar w:fldCharType="separate"/>
            </w:r>
            <w:r>
              <w:rPr>
                <w:rStyle w:val="Style20"/>
                <w:vanish w:val="false"/>
                <w:sz w:val="22"/>
                <w:szCs w:val="22"/>
              </w:rPr>
              <w:tab/>
              <w:t>58</w:t>
            </w:r>
            <w:r>
              <w:rPr>
                <w:webHidden/>
              </w:rPr>
              <w:fldChar w:fldCharType="end"/>
            </w:r>
          </w:hyperlink>
        </w:p>
        <w:p>
          <w:pPr>
            <w:pStyle w:val="TOC2"/>
            <w:rPr/>
          </w:pPr>
          <w:hyperlink w:anchor="_Toc230928864">
            <w:r>
              <w:rPr>
                <w:webHidden/>
                <w:rStyle w:val="Style20"/>
                <w:vanish w:val="false"/>
                <w:sz w:val="22"/>
                <w:szCs w:val="22"/>
              </w:rPr>
              <w:t>5.3</w:t>
            </w:r>
            <w:r>
              <w:rPr>
                <w:rStyle w:val="Style20"/>
                <w:rFonts w:eastAsia="" w:eastAsiaTheme="minorEastAsia"/>
                <w:kern w:val="2"/>
                <w:sz w:val="22"/>
                <w:szCs w:val="22"/>
                <w:lang w:eastAsia="ru-RU"/>
                <w14:ligatures w14:val="standardContextual"/>
              </w:rPr>
              <w:tab/>
            </w:r>
            <w:r>
              <w:rPr>
                <w:rStyle w:val="Style20"/>
                <w:sz w:val="22"/>
                <w:szCs w:val="22"/>
              </w:rPr>
              <w:t>Преддоговорные переговоры</w:t>
            </w:r>
            <w:r>
              <w:rPr>
                <w:webHidden/>
              </w:rPr>
              <w:fldChar w:fldCharType="begin"/>
            </w:r>
            <w:r>
              <w:rPr>
                <w:webHidden/>
              </w:rPr>
              <w:instrText xml:space="preserve">PAGEREF _Toc230928864 \h</w:instrText>
            </w:r>
            <w:r>
              <w:rPr>
                <w:webHidden/>
              </w:rPr>
              <w:fldChar w:fldCharType="separate"/>
            </w:r>
            <w:r>
              <w:rPr>
                <w:rStyle w:val="Style20"/>
                <w:vanish w:val="false"/>
                <w:sz w:val="22"/>
                <w:szCs w:val="22"/>
              </w:rPr>
              <w:tab/>
              <w:t>61</w:t>
            </w:r>
            <w:r>
              <w:rPr>
                <w:webHidden/>
              </w:rPr>
              <w:fldChar w:fldCharType="end"/>
            </w:r>
          </w:hyperlink>
        </w:p>
        <w:p>
          <w:pPr>
            <w:pStyle w:val="TOC2"/>
            <w:rPr/>
          </w:pPr>
          <w:hyperlink w:anchor="_Toc230928865">
            <w:r>
              <w:rPr>
                <w:webHidden/>
                <w:rStyle w:val="Style20"/>
                <w:vanish w:val="false"/>
                <w:sz w:val="22"/>
                <w:szCs w:val="22"/>
              </w:rPr>
              <w:t>5.4</w:t>
            </w:r>
            <w:r>
              <w:rPr>
                <w:rStyle w:val="Style20"/>
                <w:rFonts w:eastAsia="" w:eastAsiaTheme="minorEastAsia"/>
                <w:kern w:val="2"/>
                <w:sz w:val="22"/>
                <w:szCs w:val="22"/>
                <w:lang w:eastAsia="ru-RU"/>
                <w14:ligatures w14:val="standardContextual"/>
              </w:rPr>
              <w:tab/>
            </w:r>
            <w:r>
              <w:rPr>
                <w:rStyle w:val="Style20"/>
                <w:sz w:val="22"/>
                <w:szCs w:val="22"/>
              </w:rPr>
              <w:t>Уклонение Победителя от заключения Договора</w:t>
            </w:r>
            <w:r>
              <w:rPr>
                <w:webHidden/>
              </w:rPr>
              <w:fldChar w:fldCharType="begin"/>
            </w:r>
            <w:r>
              <w:rPr>
                <w:webHidden/>
              </w:rPr>
              <w:instrText xml:space="preserve">PAGEREF _Toc230928865 \h</w:instrText>
            </w:r>
            <w:r>
              <w:rPr>
                <w:webHidden/>
              </w:rPr>
              <w:fldChar w:fldCharType="separate"/>
            </w:r>
            <w:r>
              <w:rPr>
                <w:rStyle w:val="Style20"/>
                <w:vanish w:val="false"/>
                <w:sz w:val="22"/>
                <w:szCs w:val="22"/>
              </w:rPr>
              <w:tab/>
              <w:t>62</w:t>
            </w:r>
            <w:r>
              <w:rPr>
                <w:webHidden/>
              </w:rPr>
              <w:fldChar w:fldCharType="end"/>
            </w:r>
          </w:hyperlink>
        </w:p>
        <w:p>
          <w:pPr>
            <w:pStyle w:val="TOC1"/>
            <w:rPr/>
          </w:pPr>
          <w:hyperlink w:anchor="_Toc230928866">
            <w:r>
              <w:rPr>
                <w:webHidden/>
                <w:rStyle w:val="Style20"/>
                <w:vanish w:val="false"/>
                <w:sz w:val="22"/>
                <w:szCs w:val="22"/>
              </w:rPr>
              <w:t>6.</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1 – Технические требования</w:t>
            </w:r>
            <w:r>
              <w:rPr>
                <w:webHidden/>
              </w:rPr>
              <w:fldChar w:fldCharType="begin"/>
            </w:r>
            <w:r>
              <w:rPr>
                <w:webHidden/>
              </w:rPr>
              <w:instrText xml:space="preserve">PAGEREF _Toc230928866 \h</w:instrText>
            </w:r>
            <w:r>
              <w:rPr>
                <w:webHidden/>
              </w:rPr>
              <w:fldChar w:fldCharType="separate"/>
            </w:r>
            <w:r>
              <w:rPr>
                <w:rStyle w:val="Style20"/>
                <w:vanish w:val="false"/>
                <w:sz w:val="22"/>
                <w:szCs w:val="22"/>
              </w:rPr>
              <w:tab/>
              <w:t>63</w:t>
            </w:r>
            <w:r>
              <w:rPr>
                <w:webHidden/>
              </w:rPr>
              <w:fldChar w:fldCharType="end"/>
            </w:r>
          </w:hyperlink>
        </w:p>
        <w:p>
          <w:pPr>
            <w:pStyle w:val="TOC2"/>
            <w:rPr/>
          </w:pPr>
          <w:hyperlink w:anchor="_Toc230928867">
            <w:r>
              <w:rPr>
                <w:webHidden/>
                <w:rStyle w:val="Style20"/>
                <w:vanish w:val="false"/>
                <w:sz w:val="22"/>
                <w:szCs w:val="22"/>
              </w:rPr>
              <w:t>6.1</w:t>
            </w:r>
            <w:r>
              <w:rPr>
                <w:rStyle w:val="Style20"/>
                <w:rFonts w:eastAsia="" w:eastAsiaTheme="minorEastAsia"/>
                <w:kern w:val="2"/>
                <w:sz w:val="22"/>
                <w:szCs w:val="22"/>
                <w:lang w:eastAsia="ru-RU"/>
                <w14:ligatures w14:val="standardContextual"/>
              </w:rPr>
              <w:tab/>
            </w:r>
            <w:r>
              <w:rPr>
                <w:rStyle w:val="Style20"/>
                <w:sz w:val="22"/>
                <w:szCs w:val="22"/>
              </w:rPr>
              <w:t>Пояснения к Техническим требованиям</w:t>
            </w:r>
            <w:r>
              <w:rPr>
                <w:webHidden/>
              </w:rPr>
              <w:fldChar w:fldCharType="begin"/>
            </w:r>
            <w:r>
              <w:rPr>
                <w:webHidden/>
              </w:rPr>
              <w:instrText xml:space="preserve">PAGEREF _Toc230928867 \h</w:instrText>
            </w:r>
            <w:r>
              <w:rPr>
                <w:webHidden/>
              </w:rPr>
              <w:fldChar w:fldCharType="separate"/>
            </w:r>
            <w:r>
              <w:rPr>
                <w:rStyle w:val="Style20"/>
                <w:vanish w:val="false"/>
                <w:sz w:val="22"/>
                <w:szCs w:val="22"/>
              </w:rPr>
              <w:tab/>
              <w:t>63</w:t>
            </w:r>
            <w:r>
              <w:rPr>
                <w:webHidden/>
              </w:rPr>
              <w:fldChar w:fldCharType="end"/>
            </w:r>
          </w:hyperlink>
        </w:p>
        <w:p>
          <w:pPr>
            <w:pStyle w:val="TOC1"/>
            <w:rPr/>
          </w:pPr>
          <w:hyperlink w:anchor="_Toc230928868">
            <w:r>
              <w:rPr>
                <w:webHidden/>
                <w:rStyle w:val="Style20"/>
                <w:vanish w:val="false"/>
                <w:sz w:val="22"/>
                <w:szCs w:val="22"/>
              </w:rPr>
              <w:t>7.</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2 – Проект договора</w:t>
            </w:r>
            <w:r>
              <w:rPr>
                <w:webHidden/>
              </w:rPr>
              <w:fldChar w:fldCharType="begin"/>
            </w:r>
            <w:r>
              <w:rPr>
                <w:webHidden/>
              </w:rPr>
              <w:instrText xml:space="preserve">PAGEREF _Toc230928868 \h</w:instrText>
            </w:r>
            <w:r>
              <w:rPr>
                <w:webHidden/>
              </w:rPr>
              <w:fldChar w:fldCharType="separate"/>
            </w:r>
            <w:r>
              <w:rPr>
                <w:rStyle w:val="Style20"/>
                <w:vanish w:val="false"/>
                <w:sz w:val="22"/>
                <w:szCs w:val="22"/>
              </w:rPr>
              <w:tab/>
              <w:t>64</w:t>
            </w:r>
            <w:r>
              <w:rPr>
                <w:webHidden/>
              </w:rPr>
              <w:fldChar w:fldCharType="end"/>
            </w:r>
          </w:hyperlink>
        </w:p>
        <w:p>
          <w:pPr>
            <w:pStyle w:val="TOC2"/>
            <w:rPr/>
          </w:pPr>
          <w:hyperlink w:anchor="_Toc230928869">
            <w:r>
              <w:rPr>
                <w:webHidden/>
                <w:rStyle w:val="Style20"/>
                <w:vanish w:val="false"/>
                <w:sz w:val="22"/>
                <w:szCs w:val="22"/>
              </w:rPr>
              <w:t>7.1</w:t>
            </w:r>
            <w:r>
              <w:rPr>
                <w:rStyle w:val="Style20"/>
                <w:rFonts w:eastAsia="" w:eastAsiaTheme="minorEastAsia"/>
                <w:kern w:val="2"/>
                <w:sz w:val="22"/>
                <w:szCs w:val="22"/>
                <w:lang w:eastAsia="ru-RU"/>
                <w14:ligatures w14:val="standardContextual"/>
              </w:rPr>
              <w:tab/>
            </w:r>
            <w:r>
              <w:rPr>
                <w:rStyle w:val="Style20"/>
                <w:sz w:val="22"/>
                <w:szCs w:val="22"/>
              </w:rPr>
              <w:t>Пояснения к Проекту договора</w:t>
            </w:r>
            <w:r>
              <w:rPr>
                <w:webHidden/>
              </w:rPr>
              <w:fldChar w:fldCharType="begin"/>
            </w:r>
            <w:r>
              <w:rPr>
                <w:webHidden/>
              </w:rPr>
              <w:instrText xml:space="preserve">PAGEREF _Toc230928869 \h</w:instrText>
            </w:r>
            <w:r>
              <w:rPr>
                <w:webHidden/>
              </w:rPr>
              <w:fldChar w:fldCharType="separate"/>
            </w:r>
            <w:r>
              <w:rPr>
                <w:rStyle w:val="Style20"/>
                <w:vanish w:val="false"/>
                <w:sz w:val="22"/>
                <w:szCs w:val="22"/>
              </w:rPr>
              <w:tab/>
              <w:t>64</w:t>
            </w:r>
            <w:r>
              <w:rPr>
                <w:webHidden/>
              </w:rPr>
              <w:fldChar w:fldCharType="end"/>
            </w:r>
          </w:hyperlink>
        </w:p>
        <w:p>
          <w:pPr>
            <w:pStyle w:val="TOC1"/>
            <w:rPr/>
          </w:pPr>
          <w:hyperlink w:anchor="_Toc230928870">
            <w:r>
              <w:rPr>
                <w:webHidden/>
                <w:rStyle w:val="Style20"/>
                <w:vanish w:val="false"/>
                <w:sz w:val="22"/>
                <w:szCs w:val="22"/>
              </w:rPr>
              <w:t>8.</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3 – Требования к Участникам</w:t>
            </w:r>
            <w:r>
              <w:rPr>
                <w:webHidden/>
              </w:rPr>
              <w:fldChar w:fldCharType="begin"/>
            </w:r>
            <w:r>
              <w:rPr>
                <w:webHidden/>
              </w:rPr>
              <w:instrText xml:space="preserve">PAGEREF _Toc230928870 \h</w:instrText>
            </w:r>
            <w:r>
              <w:rPr>
                <w:webHidden/>
              </w:rPr>
              <w:fldChar w:fldCharType="separate"/>
            </w:r>
            <w:r>
              <w:rPr>
                <w:rStyle w:val="Style20"/>
                <w:vanish w:val="false"/>
                <w:sz w:val="22"/>
                <w:szCs w:val="22"/>
              </w:rPr>
              <w:tab/>
              <w:t>65</w:t>
            </w:r>
            <w:r>
              <w:rPr>
                <w:webHidden/>
              </w:rPr>
              <w:fldChar w:fldCharType="end"/>
            </w:r>
          </w:hyperlink>
        </w:p>
        <w:p>
          <w:pPr>
            <w:pStyle w:val="TOC2"/>
            <w:rPr/>
          </w:pPr>
          <w:hyperlink w:anchor="_Toc230928871">
            <w:r>
              <w:rPr>
                <w:webHidden/>
                <w:rStyle w:val="Style20"/>
                <w:vanish w:val="false"/>
                <w:sz w:val="22"/>
                <w:szCs w:val="22"/>
              </w:rPr>
              <w:t>8.1</w:t>
            </w:r>
            <w:r>
              <w:rPr>
                <w:rStyle w:val="Style20"/>
                <w:rFonts w:eastAsia="" w:eastAsiaTheme="minorEastAsia"/>
                <w:kern w:val="2"/>
                <w:sz w:val="22"/>
                <w:szCs w:val="22"/>
                <w:lang w:eastAsia="ru-RU"/>
                <w14:ligatures w14:val="standardContextual"/>
              </w:rPr>
              <w:tab/>
            </w:r>
            <w:r>
              <w:rPr>
                <w:rStyle w:val="Style20"/>
                <w:sz w:val="22"/>
                <w:szCs w:val="22"/>
              </w:rPr>
              <w:t>Пояснения к требованиям к Участникам</w:t>
            </w:r>
            <w:r>
              <w:rPr>
                <w:webHidden/>
              </w:rPr>
              <w:fldChar w:fldCharType="begin"/>
            </w:r>
            <w:r>
              <w:rPr>
                <w:webHidden/>
              </w:rPr>
              <w:instrText xml:space="preserve">PAGEREF _Toc230928871 \h</w:instrText>
            </w:r>
            <w:r>
              <w:rPr>
                <w:webHidden/>
              </w:rPr>
              <w:fldChar w:fldCharType="separate"/>
            </w:r>
            <w:r>
              <w:rPr>
                <w:rStyle w:val="Style20"/>
                <w:vanish w:val="false"/>
                <w:sz w:val="22"/>
                <w:szCs w:val="22"/>
              </w:rPr>
              <w:tab/>
              <w:t>65</w:t>
            </w:r>
            <w:r>
              <w:rPr>
                <w:webHidden/>
              </w:rPr>
              <w:fldChar w:fldCharType="end"/>
            </w:r>
          </w:hyperlink>
        </w:p>
        <w:p>
          <w:pPr>
            <w:pStyle w:val="TOC2"/>
            <w:rPr/>
          </w:pPr>
          <w:hyperlink w:anchor="_Toc230928872">
            <w:r>
              <w:rPr>
                <w:webHidden/>
                <w:rStyle w:val="Style20"/>
                <w:vanish w:val="false"/>
                <w:sz w:val="22"/>
                <w:szCs w:val="22"/>
              </w:rPr>
              <w:t>8.2</w:t>
            </w:r>
            <w:r>
              <w:rPr>
                <w:rStyle w:val="Style20"/>
                <w:rFonts w:eastAsia="" w:eastAsiaTheme="minorEastAsia"/>
                <w:kern w:val="2"/>
                <w:sz w:val="22"/>
                <w:szCs w:val="22"/>
                <w:lang w:eastAsia="ru-RU"/>
                <w14:ligatures w14:val="standardContextual"/>
              </w:rPr>
              <w:tab/>
            </w:r>
            <w:r>
              <w:rPr>
                <w:rStyle w:val="Style20"/>
                <w:sz w:val="22"/>
                <w:szCs w:val="22"/>
              </w:rPr>
              <w:t>Обязательные требования</w:t>
            </w:r>
            <w:r>
              <w:rPr>
                <w:webHidden/>
              </w:rPr>
              <w:fldChar w:fldCharType="begin"/>
            </w:r>
            <w:r>
              <w:rPr>
                <w:webHidden/>
              </w:rPr>
              <w:instrText xml:space="preserve">PAGEREF _Toc230928872 \h</w:instrText>
            </w:r>
            <w:r>
              <w:rPr>
                <w:webHidden/>
              </w:rPr>
              <w:fldChar w:fldCharType="separate"/>
            </w:r>
            <w:r>
              <w:rPr>
                <w:rStyle w:val="Style20"/>
                <w:vanish w:val="false"/>
                <w:sz w:val="22"/>
                <w:szCs w:val="22"/>
              </w:rPr>
              <w:tab/>
              <w:t>65</w:t>
            </w:r>
            <w:r>
              <w:rPr>
                <w:webHidden/>
              </w:rPr>
              <w:fldChar w:fldCharType="end"/>
            </w:r>
          </w:hyperlink>
        </w:p>
        <w:p>
          <w:pPr>
            <w:pStyle w:val="TOC2"/>
            <w:rPr/>
          </w:pPr>
          <w:hyperlink w:anchor="_Toc230928873">
            <w:r>
              <w:rPr>
                <w:webHidden/>
                <w:rStyle w:val="Style20"/>
                <w:vanish w:val="false"/>
                <w:sz w:val="22"/>
                <w:szCs w:val="22"/>
              </w:rPr>
              <w:t>8.3</w:t>
            </w:r>
            <w:r>
              <w:rPr>
                <w:rStyle w:val="Style20"/>
                <w:rFonts w:eastAsia="" w:eastAsiaTheme="minorEastAsia"/>
                <w:kern w:val="2"/>
                <w:sz w:val="22"/>
                <w:szCs w:val="22"/>
                <w:lang w:eastAsia="ru-RU"/>
                <w14:ligatures w14:val="standardContextual"/>
              </w:rPr>
              <w:tab/>
            </w:r>
            <w:r>
              <w:rPr>
                <w:rStyle w:val="Style20"/>
                <w:sz w:val="22"/>
                <w:szCs w:val="22"/>
              </w:rPr>
              <w:t>Специальные требования</w:t>
            </w:r>
            <w:r>
              <w:rPr>
                <w:webHidden/>
              </w:rPr>
              <w:fldChar w:fldCharType="begin"/>
            </w:r>
            <w:r>
              <w:rPr>
                <w:webHidden/>
              </w:rPr>
              <w:instrText xml:space="preserve">PAGEREF _Toc230928873 \h</w:instrText>
            </w:r>
            <w:r>
              <w:rPr>
                <w:webHidden/>
              </w:rPr>
              <w:fldChar w:fldCharType="separate"/>
            </w:r>
            <w:r>
              <w:rPr>
                <w:rStyle w:val="Style20"/>
                <w:vanish w:val="false"/>
                <w:sz w:val="22"/>
                <w:szCs w:val="22"/>
              </w:rPr>
              <w:tab/>
              <w:t>68</w:t>
            </w:r>
            <w:r>
              <w:rPr>
                <w:webHidden/>
              </w:rPr>
              <w:fldChar w:fldCharType="end"/>
            </w:r>
          </w:hyperlink>
        </w:p>
        <w:p>
          <w:pPr>
            <w:pStyle w:val="TOC2"/>
            <w:rPr/>
          </w:pPr>
          <w:hyperlink w:anchor="_Toc230928874">
            <w:r>
              <w:rPr>
                <w:webHidden/>
                <w:rStyle w:val="Style20"/>
                <w:vanish w:val="false"/>
                <w:sz w:val="22"/>
                <w:szCs w:val="22"/>
              </w:rPr>
              <w:t>8.4</w:t>
            </w:r>
            <w:r>
              <w:rPr>
                <w:rStyle w:val="Style20"/>
                <w:rFonts w:eastAsia="" w:eastAsiaTheme="minorEastAsia"/>
                <w:kern w:val="2"/>
                <w:sz w:val="22"/>
                <w:szCs w:val="22"/>
                <w:lang w:eastAsia="ru-RU"/>
                <w14:ligatures w14:val="standardContextual"/>
              </w:rPr>
              <w:tab/>
            </w:r>
            <w:r>
              <w:rPr>
                <w:rStyle w:val="Style20"/>
                <w:sz w:val="22"/>
                <w:szCs w:val="22"/>
              </w:rPr>
              <w:t>Квалификационные требования</w:t>
            </w:r>
            <w:r>
              <w:rPr>
                <w:webHidden/>
              </w:rPr>
              <w:fldChar w:fldCharType="begin"/>
            </w:r>
            <w:r>
              <w:rPr>
                <w:webHidden/>
              </w:rPr>
              <w:instrText xml:space="preserve">PAGEREF _Toc230928874 \h</w:instrText>
            </w:r>
            <w:r>
              <w:rPr>
                <w:webHidden/>
              </w:rPr>
              <w:fldChar w:fldCharType="separate"/>
            </w:r>
            <w:r>
              <w:rPr>
                <w:rStyle w:val="Style20"/>
                <w:vanish w:val="false"/>
                <w:sz w:val="22"/>
                <w:szCs w:val="22"/>
              </w:rPr>
              <w:tab/>
              <w:t>69</w:t>
            </w:r>
            <w:r>
              <w:rPr>
                <w:webHidden/>
              </w:rPr>
              <w:fldChar w:fldCharType="end"/>
            </w:r>
          </w:hyperlink>
        </w:p>
        <w:p>
          <w:pPr>
            <w:pStyle w:val="TOC2"/>
            <w:rPr/>
          </w:pPr>
          <w:hyperlink w:anchor="_Toc230928875">
            <w:r>
              <w:rPr>
                <w:webHidden/>
                <w:rStyle w:val="Style20"/>
                <w:vanish w:val="false"/>
                <w:sz w:val="22"/>
                <w:szCs w:val="22"/>
              </w:rPr>
              <w:t>8.5</w:t>
            </w:r>
            <w:r>
              <w:rPr>
                <w:rStyle w:val="Style20"/>
                <w:rFonts w:eastAsia="" w:eastAsiaTheme="minorEastAsia"/>
                <w:kern w:val="2"/>
                <w:sz w:val="22"/>
                <w:szCs w:val="22"/>
                <w:lang w:eastAsia="ru-RU"/>
                <w14:ligatures w14:val="standardContextual"/>
              </w:rPr>
              <w:tab/>
            </w:r>
            <w:r>
              <w:rPr>
                <w:rStyle w:val="Style20"/>
                <w:sz w:val="22"/>
                <w:szCs w:val="22"/>
              </w:rPr>
              <w:t>Дополнительные требования к Коллективным участникам</w:t>
            </w:r>
            <w:r>
              <w:rPr>
                <w:webHidden/>
              </w:rPr>
              <w:fldChar w:fldCharType="begin"/>
            </w:r>
            <w:r>
              <w:rPr>
                <w:webHidden/>
              </w:rPr>
              <w:instrText xml:space="preserve">PAGEREF _Toc230928875 \h</w:instrText>
            </w:r>
            <w:r>
              <w:rPr>
                <w:webHidden/>
              </w:rPr>
              <w:fldChar w:fldCharType="separate"/>
            </w:r>
            <w:r>
              <w:rPr>
                <w:rStyle w:val="Style20"/>
                <w:vanish w:val="false"/>
                <w:sz w:val="22"/>
                <w:szCs w:val="22"/>
              </w:rPr>
              <w:tab/>
              <w:t>70</w:t>
            </w:r>
            <w:r>
              <w:rPr>
                <w:webHidden/>
              </w:rPr>
              <w:fldChar w:fldCharType="end"/>
            </w:r>
          </w:hyperlink>
        </w:p>
        <w:p>
          <w:pPr>
            <w:pStyle w:val="TOC2"/>
            <w:rPr/>
          </w:pPr>
          <w:hyperlink w:anchor="_Toc230928876">
            <w:r>
              <w:rPr>
                <w:webHidden/>
                <w:rStyle w:val="Style20"/>
                <w:vanish w:val="false"/>
                <w:sz w:val="22"/>
                <w:szCs w:val="22"/>
              </w:rPr>
              <w:t>8.6</w:t>
            </w:r>
            <w:r>
              <w:rPr>
                <w:rStyle w:val="Style20"/>
                <w:rFonts w:eastAsia="" w:eastAsiaTheme="minorEastAsia"/>
                <w:kern w:val="2"/>
                <w:sz w:val="22"/>
                <w:szCs w:val="22"/>
                <w:lang w:eastAsia="ru-RU"/>
                <w14:ligatures w14:val="standardContextual"/>
              </w:rPr>
              <w:tab/>
            </w:r>
            <w:r>
              <w:rPr>
                <w:rStyle w:val="Style20"/>
                <w:sz w:val="22"/>
                <w:szCs w:val="22"/>
              </w:rPr>
              <w:t>Дополнительные требования к Генеральным подрядчикам</w:t>
            </w:r>
            <w:r>
              <w:rPr>
                <w:webHidden/>
              </w:rPr>
              <w:fldChar w:fldCharType="begin"/>
            </w:r>
            <w:r>
              <w:rPr>
                <w:webHidden/>
              </w:rPr>
              <w:instrText xml:space="preserve">PAGEREF _Toc230928876 \h</w:instrText>
            </w:r>
            <w:r>
              <w:rPr>
                <w:webHidden/>
              </w:rPr>
              <w:fldChar w:fldCharType="separate"/>
            </w:r>
            <w:r>
              <w:rPr>
                <w:rStyle w:val="Style20"/>
                <w:vanish w:val="false"/>
                <w:sz w:val="22"/>
                <w:szCs w:val="22"/>
              </w:rPr>
              <w:tab/>
              <w:t>71</w:t>
            </w:r>
            <w:r>
              <w:rPr>
                <w:webHidden/>
              </w:rPr>
              <w:fldChar w:fldCharType="end"/>
            </w:r>
          </w:hyperlink>
        </w:p>
        <w:p>
          <w:pPr>
            <w:pStyle w:val="TOC2"/>
            <w:rPr/>
          </w:pPr>
          <w:hyperlink w:anchor="_Toc230928877">
            <w:r>
              <w:rPr>
                <w:webHidden/>
                <w:rStyle w:val="Style20"/>
                <w:vanish w:val="false"/>
                <w:sz w:val="22"/>
                <w:szCs w:val="22"/>
              </w:rPr>
              <w:t>8.7</w:t>
            </w:r>
            <w:r>
              <w:rPr>
                <w:rStyle w:val="Style20"/>
                <w:rFonts w:eastAsia="" w:eastAsiaTheme="minorEastAsia"/>
                <w:kern w:val="2"/>
                <w:sz w:val="22"/>
                <w:szCs w:val="22"/>
                <w:lang w:eastAsia="ru-RU"/>
                <w14:ligatures w14:val="standardContextual"/>
              </w:rPr>
              <w:tab/>
            </w:r>
            <w:r>
              <w:rPr>
                <w:rStyle w:val="Style20"/>
                <w:sz w:val="22"/>
                <w:szCs w:val="22"/>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r>
              <w:rPr>
                <w:webHidden/>
              </w:rPr>
              <w:fldChar w:fldCharType="begin"/>
            </w:r>
            <w:r>
              <w:rPr>
                <w:webHidden/>
              </w:rPr>
              <w:instrText xml:space="preserve">PAGEREF _Toc230928877 \h</w:instrText>
            </w:r>
            <w:r>
              <w:rPr>
                <w:webHidden/>
              </w:rPr>
              <w:fldChar w:fldCharType="separate"/>
            </w:r>
            <w:r>
              <w:rPr>
                <w:rStyle w:val="Style20"/>
                <w:vanish w:val="false"/>
                <w:sz w:val="22"/>
                <w:szCs w:val="22"/>
              </w:rPr>
              <w:tab/>
              <w:t>72</w:t>
            </w:r>
            <w:r>
              <w:rPr>
                <w:webHidden/>
              </w:rPr>
              <w:fldChar w:fldCharType="end"/>
            </w:r>
          </w:hyperlink>
        </w:p>
        <w:p>
          <w:pPr>
            <w:pStyle w:val="TOC1"/>
            <w:rPr/>
          </w:pPr>
          <w:hyperlink w:anchor="_Toc230928878">
            <w:r>
              <w:rPr>
                <w:webHidden/>
                <w:rStyle w:val="Style20"/>
                <w:vanish w:val="false"/>
                <w:sz w:val="22"/>
                <w:szCs w:val="22"/>
              </w:rPr>
              <w:t>9.</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4 – Образцы форм документов, включаемых в состав заявки</w:t>
            </w:r>
            <w:r>
              <w:rPr>
                <w:webHidden/>
              </w:rPr>
              <w:fldChar w:fldCharType="begin"/>
            </w:r>
            <w:r>
              <w:rPr>
                <w:webHidden/>
              </w:rPr>
              <w:instrText xml:space="preserve">PAGEREF _Toc230928878 \h</w:instrText>
            </w:r>
            <w:r>
              <w:rPr>
                <w:webHidden/>
              </w:rPr>
              <w:fldChar w:fldCharType="separate"/>
            </w:r>
            <w:r>
              <w:rPr>
                <w:rStyle w:val="Style20"/>
                <w:vanish w:val="false"/>
                <w:sz w:val="22"/>
                <w:szCs w:val="22"/>
              </w:rPr>
              <w:tab/>
              <w:t>74</w:t>
            </w:r>
            <w:r>
              <w:rPr>
                <w:webHidden/>
              </w:rPr>
              <w:fldChar w:fldCharType="end"/>
            </w:r>
          </w:hyperlink>
        </w:p>
        <w:p>
          <w:pPr>
            <w:pStyle w:val="TOC2"/>
            <w:rPr/>
          </w:pPr>
          <w:hyperlink w:anchor="_Toc230928879">
            <w:r>
              <w:rPr>
                <w:webHidden/>
                <w:rStyle w:val="Style20"/>
                <w:vanish w:val="false"/>
                <w:sz w:val="22"/>
                <w:szCs w:val="22"/>
              </w:rPr>
              <w:t>9.1</w:t>
            </w:r>
            <w:r>
              <w:rPr>
                <w:rStyle w:val="Style20"/>
                <w:rFonts w:eastAsia="" w:eastAsiaTheme="minorEastAsia"/>
                <w:kern w:val="2"/>
                <w:sz w:val="22"/>
                <w:szCs w:val="22"/>
                <w:lang w:eastAsia="ru-RU"/>
                <w14:ligatures w14:val="standardContextual"/>
              </w:rPr>
              <w:tab/>
            </w:r>
            <w:r>
              <w:rPr>
                <w:rStyle w:val="Style20"/>
                <w:sz w:val="22"/>
                <w:szCs w:val="22"/>
              </w:rPr>
              <w:t>Пояснения к Образцам форм документов, включаемых в состав заявки</w:t>
            </w:r>
            <w:r>
              <w:rPr>
                <w:webHidden/>
              </w:rPr>
              <w:fldChar w:fldCharType="begin"/>
            </w:r>
            <w:r>
              <w:rPr>
                <w:webHidden/>
              </w:rPr>
              <w:instrText xml:space="preserve">PAGEREF _Toc230928879 \h</w:instrText>
            </w:r>
            <w:r>
              <w:rPr>
                <w:webHidden/>
              </w:rPr>
              <w:fldChar w:fldCharType="separate"/>
            </w:r>
            <w:r>
              <w:rPr>
                <w:rStyle w:val="Style20"/>
                <w:vanish w:val="false"/>
                <w:sz w:val="22"/>
                <w:szCs w:val="22"/>
              </w:rPr>
              <w:tab/>
              <w:t>74</w:t>
            </w:r>
            <w:r>
              <w:rPr>
                <w:webHidden/>
              </w:rPr>
              <w:fldChar w:fldCharType="end"/>
            </w:r>
          </w:hyperlink>
        </w:p>
        <w:p>
          <w:pPr>
            <w:pStyle w:val="TOC1"/>
            <w:rPr/>
          </w:pPr>
          <w:hyperlink w:anchor="_Toc230928880">
            <w:r>
              <w:rPr>
                <w:webHidden/>
                <w:rStyle w:val="Style20"/>
                <w:vanish w:val="false"/>
                <w:sz w:val="22"/>
                <w:szCs w:val="22"/>
              </w:rPr>
              <w:t>10.</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5 – Образцы форм документов, предоставляемых Победителем</w:t>
            </w:r>
            <w:r>
              <w:rPr>
                <w:webHidden/>
              </w:rPr>
              <w:fldChar w:fldCharType="begin"/>
            </w:r>
            <w:r>
              <w:rPr>
                <w:webHidden/>
              </w:rPr>
              <w:instrText xml:space="preserve">PAGEREF _Toc230928880 \h</w:instrText>
            </w:r>
            <w:r>
              <w:rPr>
                <w:webHidden/>
              </w:rPr>
              <w:fldChar w:fldCharType="separate"/>
            </w:r>
            <w:r>
              <w:rPr>
                <w:rStyle w:val="Style20"/>
                <w:vanish w:val="false"/>
                <w:sz w:val="22"/>
                <w:szCs w:val="22"/>
              </w:rPr>
              <w:tab/>
              <w:t>75</w:t>
            </w:r>
            <w:r>
              <w:rPr>
                <w:webHidden/>
              </w:rPr>
              <w:fldChar w:fldCharType="end"/>
            </w:r>
          </w:hyperlink>
        </w:p>
        <w:p>
          <w:pPr>
            <w:pStyle w:val="TOC2"/>
            <w:rPr/>
          </w:pPr>
          <w:hyperlink w:anchor="_Toc230928881">
            <w:r>
              <w:rPr>
                <w:webHidden/>
                <w:rStyle w:val="Style20"/>
                <w:vanish w:val="false"/>
                <w:sz w:val="22"/>
                <w:szCs w:val="22"/>
              </w:rPr>
              <w:t>10.1</w:t>
            </w:r>
            <w:r>
              <w:rPr>
                <w:rStyle w:val="Style20"/>
                <w:rFonts w:eastAsia="" w:eastAsiaTheme="minorEastAsia"/>
                <w:kern w:val="2"/>
                <w:sz w:val="22"/>
                <w:szCs w:val="22"/>
                <w:lang w:eastAsia="ru-RU"/>
                <w14:ligatures w14:val="standardContextual"/>
              </w:rPr>
              <w:tab/>
            </w:r>
            <w:r>
              <w:rPr>
                <w:rStyle w:val="Style20"/>
                <w:sz w:val="22"/>
                <w:szCs w:val="22"/>
              </w:rPr>
              <w:t>Пояснения к Образцам форм документов, предоставляемых Победителем</w:t>
            </w:r>
            <w:r>
              <w:rPr>
                <w:webHidden/>
              </w:rPr>
              <w:fldChar w:fldCharType="begin"/>
            </w:r>
            <w:r>
              <w:rPr>
                <w:webHidden/>
              </w:rPr>
              <w:instrText xml:space="preserve">PAGEREF _Toc230928881 \h</w:instrText>
            </w:r>
            <w:r>
              <w:rPr>
                <w:webHidden/>
              </w:rPr>
              <w:fldChar w:fldCharType="separate"/>
            </w:r>
            <w:r>
              <w:rPr>
                <w:rStyle w:val="Style20"/>
                <w:vanish w:val="false"/>
                <w:sz w:val="22"/>
                <w:szCs w:val="22"/>
              </w:rPr>
              <w:tab/>
              <w:t>75</w:t>
            </w:r>
            <w:r>
              <w:rPr>
                <w:webHidden/>
              </w:rPr>
              <w:fldChar w:fldCharType="end"/>
            </w:r>
          </w:hyperlink>
        </w:p>
        <w:p>
          <w:pPr>
            <w:pStyle w:val="TOC2"/>
            <w:rPr/>
          </w:pPr>
          <w:hyperlink w:anchor="_Toc230928882">
            <w:r>
              <w:rPr>
                <w:webHidden/>
                <w:rStyle w:val="Style20"/>
                <w:vanish w:val="false"/>
                <w:sz w:val="22"/>
                <w:szCs w:val="22"/>
              </w:rPr>
              <w:t>10.2</w:t>
            </w:r>
            <w:r>
              <w:rPr>
                <w:rStyle w:val="Style20"/>
                <w:rFonts w:eastAsia="" w:eastAsiaTheme="minorEastAsia"/>
                <w:kern w:val="2"/>
                <w:sz w:val="22"/>
                <w:szCs w:val="22"/>
                <w:lang w:eastAsia="ru-RU"/>
                <w14:ligatures w14:val="standardContextual"/>
              </w:rPr>
              <w:tab/>
            </w:r>
            <w:r>
              <w:rPr>
                <w:rStyle w:val="Style20"/>
                <w:sz w:val="22"/>
                <w:szCs w:val="22"/>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_Toc230928882 \h</w:instrText>
            </w:r>
            <w:r>
              <w:rPr>
                <w:webHidden/>
              </w:rPr>
              <w:fldChar w:fldCharType="separate"/>
            </w:r>
            <w:r>
              <w:rPr>
                <w:rStyle w:val="Style20"/>
                <w:vanish w:val="false"/>
                <w:sz w:val="22"/>
                <w:szCs w:val="22"/>
              </w:rPr>
              <w:tab/>
              <w:t>75</w:t>
            </w:r>
            <w:r>
              <w:rPr>
                <w:webHidden/>
              </w:rPr>
              <w:fldChar w:fldCharType="end"/>
            </w:r>
          </w:hyperlink>
        </w:p>
        <w:p>
          <w:pPr>
            <w:pStyle w:val="TOC2"/>
            <w:rPr/>
          </w:pPr>
          <w:hyperlink w:anchor="_Toc230928883">
            <w:r>
              <w:rPr>
                <w:webHidden/>
                <w:rStyle w:val="Style20"/>
                <w:vanish w:val="false"/>
                <w:sz w:val="22"/>
                <w:szCs w:val="22"/>
              </w:rPr>
              <w:t>10.3</w:t>
            </w:r>
            <w:r>
              <w:rPr>
                <w:rStyle w:val="Style20"/>
                <w:rFonts w:eastAsia="" w:eastAsiaTheme="minorEastAsia"/>
                <w:kern w:val="2"/>
                <w:sz w:val="22"/>
                <w:szCs w:val="22"/>
                <w:lang w:eastAsia="ru-RU"/>
                <w14:ligatures w14:val="standardContextual"/>
              </w:rPr>
              <w:tab/>
            </w:r>
            <w:r>
              <w:rPr>
                <w:rStyle w:val="Style20"/>
                <w:sz w:val="22"/>
                <w:szCs w:val="22"/>
              </w:rPr>
              <w:t>Форма «Заверение об обстоятельствах»</w:t>
            </w:r>
            <w:r>
              <w:rPr>
                <w:webHidden/>
              </w:rPr>
              <w:fldChar w:fldCharType="begin"/>
            </w:r>
            <w:r>
              <w:rPr>
                <w:webHidden/>
              </w:rPr>
              <w:instrText xml:space="preserve">PAGEREF _Toc230928883 \h</w:instrText>
            </w:r>
            <w:r>
              <w:rPr>
                <w:webHidden/>
              </w:rPr>
              <w:fldChar w:fldCharType="separate"/>
            </w:r>
            <w:r>
              <w:rPr>
                <w:rStyle w:val="Style20"/>
                <w:vanish w:val="false"/>
                <w:sz w:val="22"/>
                <w:szCs w:val="22"/>
              </w:rPr>
              <w:tab/>
              <w:t>75</w:t>
            </w:r>
            <w:r>
              <w:rPr>
                <w:webHidden/>
              </w:rPr>
              <w:fldChar w:fldCharType="end"/>
            </w:r>
          </w:hyperlink>
        </w:p>
        <w:p>
          <w:pPr>
            <w:pStyle w:val="TOC1"/>
            <w:rPr/>
          </w:pPr>
          <w:hyperlink w:anchor="_Toc230928884">
            <w:r>
              <w:rPr>
                <w:webHidden/>
                <w:rStyle w:val="Style20"/>
                <w:vanish w:val="false"/>
                <w:sz w:val="22"/>
                <w:szCs w:val="22"/>
              </w:rPr>
              <w:t>11.</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6 – Состав заявки</w:t>
            </w:r>
            <w:r>
              <w:rPr>
                <w:webHidden/>
              </w:rPr>
              <w:fldChar w:fldCharType="begin"/>
            </w:r>
            <w:r>
              <w:rPr>
                <w:webHidden/>
              </w:rPr>
              <w:instrText xml:space="preserve">PAGEREF _Toc230928884 \h</w:instrText>
            </w:r>
            <w:r>
              <w:rPr>
                <w:webHidden/>
              </w:rPr>
              <w:fldChar w:fldCharType="separate"/>
            </w:r>
            <w:r>
              <w:rPr>
                <w:rStyle w:val="Style20"/>
                <w:vanish w:val="false"/>
                <w:sz w:val="22"/>
                <w:szCs w:val="22"/>
              </w:rPr>
              <w:tab/>
              <w:t>77</w:t>
            </w:r>
            <w:r>
              <w:rPr>
                <w:webHidden/>
              </w:rPr>
              <w:fldChar w:fldCharType="end"/>
            </w:r>
          </w:hyperlink>
        </w:p>
        <w:p>
          <w:pPr>
            <w:pStyle w:val="TOC2"/>
            <w:rPr/>
          </w:pPr>
          <w:hyperlink w:anchor="_Toc230928885">
            <w:r>
              <w:rPr>
                <w:webHidden/>
                <w:rStyle w:val="Style20"/>
                <w:vanish w:val="false"/>
                <w:sz w:val="22"/>
                <w:szCs w:val="22"/>
              </w:rPr>
              <w:t>11.1</w:t>
            </w:r>
            <w:r>
              <w:rPr>
                <w:rStyle w:val="Style20"/>
                <w:rFonts w:eastAsia="" w:eastAsiaTheme="minorEastAsia"/>
                <w:kern w:val="2"/>
                <w:sz w:val="22"/>
                <w:szCs w:val="22"/>
                <w:lang w:eastAsia="ru-RU"/>
                <w14:ligatures w14:val="standardContextual"/>
              </w:rPr>
              <w:tab/>
            </w:r>
            <w:r>
              <w:rPr>
                <w:rStyle w:val="Style20"/>
                <w:sz w:val="22"/>
                <w:szCs w:val="22"/>
              </w:rPr>
              <w:t>Состав заявки</w:t>
            </w:r>
            <w:r>
              <w:rPr>
                <w:webHidden/>
              </w:rPr>
              <w:fldChar w:fldCharType="begin"/>
            </w:r>
            <w:r>
              <w:rPr>
                <w:webHidden/>
              </w:rPr>
              <w:instrText xml:space="preserve">PAGEREF _Toc230928885 \h</w:instrText>
            </w:r>
            <w:r>
              <w:rPr>
                <w:webHidden/>
              </w:rPr>
              <w:fldChar w:fldCharType="separate"/>
            </w:r>
            <w:r>
              <w:rPr>
                <w:rStyle w:val="Style20"/>
                <w:vanish w:val="false"/>
                <w:sz w:val="22"/>
                <w:szCs w:val="22"/>
              </w:rPr>
              <w:tab/>
              <w:t>77</w:t>
            </w:r>
            <w:r>
              <w:rPr>
                <w:webHidden/>
              </w:rPr>
              <w:fldChar w:fldCharType="end"/>
            </w:r>
          </w:hyperlink>
        </w:p>
        <w:p>
          <w:pPr>
            <w:pStyle w:val="TOC1"/>
            <w:rPr/>
          </w:pPr>
          <w:hyperlink w:anchor="_Toc230928886">
            <w:r>
              <w:rPr>
                <w:webHidden/>
                <w:rStyle w:val="Style20"/>
                <w:vanish w:val="false"/>
                <w:sz w:val="22"/>
                <w:szCs w:val="22"/>
              </w:rPr>
              <w:t>12.</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7 – Отборочные критерии рассмотрения заявок</w:t>
            </w:r>
            <w:r>
              <w:rPr>
                <w:webHidden/>
              </w:rPr>
              <w:fldChar w:fldCharType="begin"/>
            </w:r>
            <w:r>
              <w:rPr>
                <w:webHidden/>
              </w:rPr>
              <w:instrText xml:space="preserve">PAGEREF _Toc230928886 \h</w:instrText>
            </w:r>
            <w:r>
              <w:rPr>
                <w:webHidden/>
              </w:rPr>
              <w:fldChar w:fldCharType="separate"/>
            </w:r>
            <w:r>
              <w:rPr>
                <w:rStyle w:val="Style20"/>
                <w:vanish w:val="false"/>
                <w:sz w:val="22"/>
                <w:szCs w:val="22"/>
              </w:rPr>
              <w:tab/>
              <w:t>80</w:t>
            </w:r>
            <w:r>
              <w:rPr>
                <w:webHidden/>
              </w:rPr>
              <w:fldChar w:fldCharType="end"/>
            </w:r>
          </w:hyperlink>
        </w:p>
        <w:p>
          <w:pPr>
            <w:pStyle w:val="TOC2"/>
            <w:rPr/>
          </w:pPr>
          <w:hyperlink w:anchor="_Toc230928887">
            <w:r>
              <w:rPr>
                <w:webHidden/>
                <w:rStyle w:val="Style20"/>
                <w:vanish w:val="false"/>
                <w:sz w:val="22"/>
                <w:szCs w:val="22"/>
              </w:rPr>
              <w:t>12.1</w:t>
            </w:r>
            <w:r>
              <w:rPr>
                <w:rStyle w:val="Style20"/>
                <w:rFonts w:eastAsia="" w:eastAsiaTheme="minorEastAsia"/>
                <w:kern w:val="2"/>
                <w:sz w:val="22"/>
                <w:szCs w:val="22"/>
                <w:lang w:eastAsia="ru-RU"/>
                <w14:ligatures w14:val="standardContextual"/>
              </w:rPr>
              <w:tab/>
            </w:r>
            <w:r>
              <w:rPr>
                <w:rStyle w:val="Style20"/>
                <w:sz w:val="22"/>
                <w:szCs w:val="22"/>
              </w:rPr>
              <w:t>Отборочные критерии рассмотрения заявок</w:t>
            </w:r>
            <w:r>
              <w:rPr>
                <w:webHidden/>
              </w:rPr>
              <w:fldChar w:fldCharType="begin"/>
            </w:r>
            <w:r>
              <w:rPr>
                <w:webHidden/>
              </w:rPr>
              <w:instrText xml:space="preserve">PAGEREF _Toc230928887 \h</w:instrText>
            </w:r>
            <w:r>
              <w:rPr>
                <w:webHidden/>
              </w:rPr>
              <w:fldChar w:fldCharType="separate"/>
            </w:r>
            <w:r>
              <w:rPr>
                <w:rStyle w:val="Style20"/>
                <w:vanish w:val="false"/>
                <w:sz w:val="22"/>
                <w:szCs w:val="22"/>
              </w:rPr>
              <w:tab/>
              <w:t>80</w:t>
            </w:r>
            <w:r>
              <w:rPr>
                <w:webHidden/>
              </w:rPr>
              <w:fldChar w:fldCharType="end"/>
            </w:r>
          </w:hyperlink>
        </w:p>
        <w:p>
          <w:pPr>
            <w:pStyle w:val="TOC2"/>
            <w:rPr/>
          </w:pPr>
          <w:hyperlink w:anchor="_Toc230928888">
            <w:r>
              <w:rPr>
                <w:webHidden/>
                <w:rStyle w:val="Style20"/>
                <w:vanish w:val="false"/>
                <w:sz w:val="22"/>
                <w:szCs w:val="22"/>
              </w:rPr>
              <w:t>12.2</w:t>
            </w:r>
            <w:r>
              <w:rPr>
                <w:rStyle w:val="Style20"/>
                <w:rFonts w:eastAsia="" w:eastAsiaTheme="minorEastAsia"/>
                <w:kern w:val="2"/>
                <w:sz w:val="22"/>
                <w:szCs w:val="22"/>
                <w:lang w:eastAsia="ru-RU"/>
                <w14:ligatures w14:val="standardContextual"/>
              </w:rPr>
              <w:tab/>
            </w:r>
            <w:r>
              <w:rPr>
                <w:rStyle w:val="Style20"/>
                <w:sz w:val="22"/>
                <w:szCs w:val="22"/>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_Toc230928888 \h</w:instrText>
            </w:r>
            <w:r>
              <w:rPr>
                <w:webHidden/>
              </w:rPr>
              <w:fldChar w:fldCharType="separate"/>
            </w:r>
            <w:r>
              <w:rPr>
                <w:rStyle w:val="Style20"/>
                <w:vanish w:val="false"/>
                <w:sz w:val="22"/>
                <w:szCs w:val="22"/>
              </w:rPr>
              <w:tab/>
              <w:t>85</w:t>
            </w:r>
            <w:r>
              <w:rPr>
                <w:webHidden/>
              </w:rPr>
              <w:fldChar w:fldCharType="end"/>
            </w:r>
          </w:hyperlink>
        </w:p>
        <w:p>
          <w:pPr>
            <w:pStyle w:val="TOC1"/>
            <w:rPr/>
          </w:pPr>
          <w:hyperlink w:anchor="_Toc230928889">
            <w:r>
              <w:rPr>
                <w:webHidden/>
                <w:rStyle w:val="Style20"/>
                <w:vanish w:val="false"/>
                <w:sz w:val="22"/>
                <w:szCs w:val="22"/>
              </w:rPr>
              <w:t>13.</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8 – Порядок и критерии оценки и сопоставления заявок</w:t>
            </w:r>
            <w:r>
              <w:rPr>
                <w:webHidden/>
              </w:rPr>
              <w:fldChar w:fldCharType="begin"/>
            </w:r>
            <w:r>
              <w:rPr>
                <w:webHidden/>
              </w:rPr>
              <w:instrText xml:space="preserve">PAGEREF _Toc230928889 \h</w:instrText>
            </w:r>
            <w:r>
              <w:rPr>
                <w:webHidden/>
              </w:rPr>
              <w:fldChar w:fldCharType="separate"/>
            </w:r>
            <w:r>
              <w:rPr>
                <w:rStyle w:val="Style20"/>
                <w:vanish w:val="false"/>
                <w:sz w:val="22"/>
                <w:szCs w:val="22"/>
              </w:rPr>
              <w:tab/>
              <w:t>88</w:t>
            </w:r>
            <w:r>
              <w:rPr>
                <w:webHidden/>
              </w:rPr>
              <w:fldChar w:fldCharType="end"/>
            </w:r>
          </w:hyperlink>
        </w:p>
        <w:p>
          <w:pPr>
            <w:pStyle w:val="TOC2"/>
            <w:rPr/>
          </w:pPr>
          <w:hyperlink w:anchor="_Toc230928890">
            <w:r>
              <w:rPr>
                <w:webHidden/>
                <w:rStyle w:val="Style20"/>
                <w:vanish w:val="false"/>
                <w:sz w:val="22"/>
                <w:szCs w:val="22"/>
              </w:rPr>
              <w:t>13.1</w:t>
            </w:r>
            <w:r>
              <w:rPr>
                <w:rStyle w:val="Style20"/>
                <w:rFonts w:eastAsia="" w:eastAsiaTheme="minorEastAsia"/>
                <w:kern w:val="2"/>
                <w:sz w:val="22"/>
                <w:szCs w:val="22"/>
                <w:lang w:eastAsia="ru-RU"/>
                <w14:ligatures w14:val="standardContextual"/>
              </w:rPr>
              <w:tab/>
            </w:r>
            <w:r>
              <w:rPr>
                <w:rStyle w:val="Style20"/>
                <w:sz w:val="22"/>
                <w:szCs w:val="22"/>
              </w:rPr>
              <w:t>Порядок и критерии оценки и сопоставления заявок</w:t>
            </w:r>
            <w:r>
              <w:rPr>
                <w:webHidden/>
              </w:rPr>
              <w:fldChar w:fldCharType="begin"/>
            </w:r>
            <w:r>
              <w:rPr>
                <w:webHidden/>
              </w:rPr>
              <w:instrText xml:space="preserve">PAGEREF _Toc230928890 \h</w:instrText>
            </w:r>
            <w:r>
              <w:rPr>
                <w:webHidden/>
              </w:rPr>
              <w:fldChar w:fldCharType="separate"/>
            </w:r>
            <w:r>
              <w:rPr>
                <w:rStyle w:val="Style20"/>
                <w:vanish w:val="false"/>
                <w:sz w:val="22"/>
                <w:szCs w:val="22"/>
              </w:rPr>
              <w:tab/>
              <w:t>88</w:t>
            </w:r>
            <w:r>
              <w:rPr>
                <w:webHidden/>
              </w:rPr>
              <w:fldChar w:fldCharType="end"/>
            </w:r>
          </w:hyperlink>
        </w:p>
        <w:p>
          <w:pPr>
            <w:pStyle w:val="TOC1"/>
            <w:rPr/>
          </w:pPr>
          <w:hyperlink w:anchor="_Toc230928891">
            <w:r>
              <w:rPr>
                <w:webHidden/>
                <w:rStyle w:val="Style20"/>
                <w:vanish w:val="false"/>
                <w:sz w:val="22"/>
                <w:szCs w:val="22"/>
              </w:rPr>
              <w:t>14.</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9 – Обоснование НМЦ</w:t>
            </w:r>
            <w:r>
              <w:rPr>
                <w:webHidden/>
              </w:rPr>
              <w:fldChar w:fldCharType="begin"/>
            </w:r>
            <w:r>
              <w:rPr>
                <w:webHidden/>
              </w:rPr>
              <w:instrText xml:space="preserve">PAGEREF _Toc230928891 \h</w:instrText>
            </w:r>
            <w:r>
              <w:rPr>
                <w:webHidden/>
              </w:rPr>
              <w:fldChar w:fldCharType="separate"/>
            </w:r>
            <w:r>
              <w:rPr>
                <w:rStyle w:val="Style20"/>
                <w:vanish w:val="false"/>
                <w:sz w:val="22"/>
                <w:szCs w:val="22"/>
              </w:rPr>
              <w:tab/>
              <w:t>94</w:t>
            </w:r>
            <w:r>
              <w:rPr>
                <w:webHidden/>
              </w:rPr>
              <w:fldChar w:fldCharType="end"/>
            </w:r>
          </w:hyperlink>
        </w:p>
        <w:p>
          <w:pPr>
            <w:pStyle w:val="TOC2"/>
            <w:rPr/>
          </w:pPr>
          <w:hyperlink w:anchor="_Toc230928892">
            <w:r>
              <w:rPr>
                <w:webHidden/>
                <w:rStyle w:val="Style20"/>
                <w:vanish w:val="false"/>
                <w:sz w:val="22"/>
                <w:szCs w:val="22"/>
              </w:rPr>
              <w:t>14.1</w:t>
            </w:r>
            <w:r>
              <w:rPr>
                <w:rStyle w:val="Style20"/>
                <w:rFonts w:eastAsia="" w:eastAsiaTheme="minorEastAsia"/>
                <w:kern w:val="2"/>
                <w:sz w:val="22"/>
                <w:szCs w:val="22"/>
                <w:lang w:eastAsia="ru-RU"/>
                <w14:ligatures w14:val="standardContextual"/>
              </w:rPr>
              <w:tab/>
            </w:r>
            <w:r>
              <w:rPr>
                <w:rStyle w:val="Style20"/>
                <w:sz w:val="22"/>
                <w:szCs w:val="22"/>
              </w:rPr>
              <w:t>Пояснения к Обоснованию НМЦ</w:t>
            </w:r>
            <w:r>
              <w:rPr>
                <w:webHidden/>
              </w:rPr>
              <w:fldChar w:fldCharType="begin"/>
            </w:r>
            <w:r>
              <w:rPr>
                <w:webHidden/>
              </w:rPr>
              <w:instrText xml:space="preserve">PAGEREF _Toc230928892 \h</w:instrText>
            </w:r>
            <w:r>
              <w:rPr>
                <w:webHidden/>
              </w:rPr>
              <w:fldChar w:fldCharType="separate"/>
            </w:r>
            <w:r>
              <w:rPr>
                <w:rStyle w:val="Style20"/>
                <w:vanish w:val="false"/>
                <w:sz w:val="22"/>
                <w:szCs w:val="22"/>
              </w:rPr>
              <w:tab/>
              <w:t>94</w:t>
            </w:r>
            <w:r>
              <w:rPr>
                <w:webHidden/>
              </w:rPr>
              <w:fldChar w:fldCharType="end"/>
            </w:r>
          </w:hyperlink>
        </w:p>
        <w:p>
          <w:pPr>
            <w:pStyle w:val="TOC1"/>
            <w:rPr/>
          </w:pPr>
          <w:hyperlink w:anchor="_Toc230928893">
            <w:r>
              <w:rPr>
                <w:webHidden/>
                <w:rStyle w:val="Style20"/>
                <w:vanish w:val="false"/>
                <w:sz w:val="22"/>
                <w:szCs w:val="22"/>
              </w:rPr>
              <w:t>15.</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10 – Форма Заявки на аккредитацию</w:t>
            </w:r>
            <w:r>
              <w:rPr>
                <w:webHidden/>
              </w:rPr>
              <w:fldChar w:fldCharType="begin"/>
            </w:r>
            <w:r>
              <w:rPr>
                <w:webHidden/>
              </w:rPr>
              <w:instrText xml:space="preserve">PAGEREF _Toc230928893 \h</w:instrText>
            </w:r>
            <w:r>
              <w:rPr>
                <w:webHidden/>
              </w:rPr>
              <w:fldChar w:fldCharType="separate"/>
            </w:r>
            <w:r>
              <w:rPr>
                <w:rStyle w:val="Style20"/>
                <w:vanish w:val="false"/>
                <w:sz w:val="22"/>
                <w:szCs w:val="22"/>
              </w:rPr>
              <w:tab/>
              <w:t>95</w:t>
            </w:r>
            <w:r>
              <w:rPr>
                <w:webHidden/>
              </w:rPr>
              <w:fldChar w:fldCharType="end"/>
            </w:r>
          </w:hyperlink>
        </w:p>
        <w:p>
          <w:pPr>
            <w:pStyle w:val="TOC2"/>
            <w:rPr/>
          </w:pPr>
          <w:hyperlink w:anchor="_Toc230928894">
            <w:r>
              <w:rPr>
                <w:webHidden/>
                <w:rStyle w:val="Style20"/>
                <w:vanish w:val="false"/>
                <w:sz w:val="22"/>
                <w:szCs w:val="22"/>
              </w:rPr>
              <w:t>15.1</w:t>
            </w:r>
            <w:r>
              <w:rPr>
                <w:rStyle w:val="Style20"/>
                <w:rFonts w:eastAsia="" w:eastAsiaTheme="minorEastAsia"/>
                <w:kern w:val="2"/>
                <w:sz w:val="22"/>
                <w:szCs w:val="22"/>
                <w:lang w:eastAsia="ru-RU"/>
                <w14:ligatures w14:val="standardContextual"/>
              </w:rPr>
              <w:tab/>
            </w:r>
            <w:r>
              <w:rPr>
                <w:rStyle w:val="Style20"/>
                <w:sz w:val="22"/>
                <w:szCs w:val="22"/>
              </w:rPr>
              <w:t>Пояснения к форме Заявки на аккредитацию</w:t>
            </w:r>
            <w:r>
              <w:rPr>
                <w:webHidden/>
              </w:rPr>
              <w:fldChar w:fldCharType="begin"/>
            </w:r>
            <w:r>
              <w:rPr>
                <w:webHidden/>
              </w:rPr>
              <w:instrText xml:space="preserve">PAGEREF _Toc230928894 \h</w:instrText>
            </w:r>
            <w:r>
              <w:rPr>
                <w:webHidden/>
              </w:rPr>
              <w:fldChar w:fldCharType="separate"/>
            </w:r>
            <w:r>
              <w:rPr>
                <w:rStyle w:val="Style20"/>
                <w:vanish w:val="false"/>
                <w:sz w:val="22"/>
                <w:szCs w:val="22"/>
              </w:rPr>
              <w:tab/>
              <w:t>95</w:t>
            </w:r>
            <w:r>
              <w:rPr>
                <w:webHidden/>
              </w:rPr>
              <w:fldChar w:fldCharType="end"/>
            </w:r>
          </w:hyperlink>
        </w:p>
        <w:p>
          <w:pPr>
            <w:pStyle w:val="TOC1"/>
            <w:rPr/>
          </w:pPr>
          <w:hyperlink w:anchor="_Toc230928895">
            <w:r>
              <w:rPr>
                <w:webHidden/>
                <w:rStyle w:val="Style20"/>
                <w:vanish w:val="false"/>
                <w:sz w:val="22"/>
                <w:szCs w:val="22"/>
              </w:rPr>
              <w:t>16.</w:t>
            </w:r>
            <w:r>
              <w:rPr>
                <w:rStyle w:val="Style20"/>
                <w:rFonts w:eastAsia="" w:eastAsiaTheme="minorEastAsia"/>
                <w:b w:val="false"/>
                <w:caps w:val="false"/>
                <w:smallCaps w:val="false"/>
                <w:kern w:val="2"/>
                <w:sz w:val="22"/>
                <w:szCs w:val="22"/>
                <w:lang w:eastAsia="ru-RU"/>
                <w14:ligatures w14:val="standardContextual"/>
              </w:rPr>
              <w:tab/>
            </w:r>
            <w:r>
              <w:rPr>
                <w:rStyle w:val="Style20"/>
                <w:sz w:val="22"/>
                <w:szCs w:val="22"/>
              </w:rPr>
              <w:t>Приложение № 11 – форма Данных бухгалтерской (финансовой) отчетности</w:t>
            </w:r>
            <w:r>
              <w:rPr>
                <w:webHidden/>
              </w:rPr>
              <w:fldChar w:fldCharType="begin"/>
            </w:r>
            <w:r>
              <w:rPr>
                <w:webHidden/>
              </w:rPr>
              <w:instrText xml:space="preserve">PAGEREF _Toc230928895 \h</w:instrText>
            </w:r>
            <w:r>
              <w:rPr>
                <w:webHidden/>
              </w:rPr>
              <w:fldChar w:fldCharType="separate"/>
            </w:r>
            <w:r>
              <w:rPr>
                <w:rStyle w:val="Style20"/>
                <w:vanish w:val="false"/>
                <w:sz w:val="22"/>
                <w:szCs w:val="22"/>
              </w:rPr>
              <w:tab/>
              <w:t>96</w:t>
            </w:r>
            <w:r>
              <w:rPr>
                <w:webHidden/>
              </w:rPr>
              <w:fldChar w:fldCharType="end"/>
            </w:r>
          </w:hyperlink>
        </w:p>
        <w:p>
          <w:pPr>
            <w:pStyle w:val="TOC2"/>
            <w:rPr/>
          </w:pPr>
          <w:hyperlink w:anchor="_Toc230928896">
            <w:r>
              <w:rPr>
                <w:webHidden/>
                <w:rStyle w:val="Style20"/>
                <w:vanish w:val="false"/>
                <w:sz w:val="22"/>
                <w:szCs w:val="22"/>
              </w:rPr>
              <w:t>16.1</w:t>
            </w:r>
            <w:r>
              <w:rPr>
                <w:rStyle w:val="Style20"/>
                <w:rFonts w:eastAsia="" w:eastAsiaTheme="minorEastAsia"/>
                <w:kern w:val="2"/>
                <w:sz w:val="22"/>
                <w:szCs w:val="22"/>
                <w:lang w:eastAsia="ru-RU"/>
                <w14:ligatures w14:val="standardContextual"/>
              </w:rPr>
              <w:tab/>
            </w:r>
            <w:r>
              <w:rPr>
                <w:rStyle w:val="Style20"/>
                <w:sz w:val="22"/>
                <w:szCs w:val="22"/>
              </w:rPr>
              <w:t>Пояснения к форме Данных бухгалтерской (финансовой) отчетности</w:t>
            </w:r>
            <w:r>
              <w:rPr>
                <w:webHidden/>
              </w:rPr>
              <w:fldChar w:fldCharType="begin"/>
            </w:r>
            <w:r>
              <w:rPr>
                <w:webHidden/>
              </w:rPr>
              <w:instrText xml:space="preserve">PAGEREF _Toc230928896 \h</w:instrText>
            </w:r>
            <w:r>
              <w:rPr>
                <w:webHidden/>
              </w:rPr>
              <w:fldChar w:fldCharType="separate"/>
            </w:r>
            <w:r>
              <w:rPr>
                <w:rStyle w:val="Style20"/>
                <w:vanish w:val="false"/>
                <w:sz w:val="22"/>
                <w:szCs w:val="22"/>
              </w:rPr>
              <w:tab/>
              <w:t>96</w:t>
            </w:r>
            <w:r>
              <w:rPr>
                <w:webHidden/>
              </w:rPr>
              <w:fldChar w:fldCharType="end"/>
            </w:r>
          </w:hyperlink>
          <w:r>
            <w:rPr>
              <w:rStyle w:val="Style20"/>
              <w:sz w:val="22"/>
              <w:szCs w:val="22"/>
              <w:vanish w:val="false"/>
            </w:rPr>
            <w:fldChar w:fldCharType="end"/>
          </w:r>
        </w:p>
      </w:sdtContent>
    </w:sdt>
    <w:p>
      <w:pPr>
        <w:pStyle w:val="Style31"/>
        <w:jc w:val="both"/>
        <w:rPr>
          <w:rFonts w:ascii="Times New Roman" w:hAnsi="Times New Roman"/>
          <w:sz w:val="22"/>
          <w:szCs w:val="22"/>
        </w:rPr>
      </w:pPr>
      <w:r>
        <w:rPr>
          <w:sz w:val="22"/>
          <w:szCs w:val="22"/>
        </w:rPr>
      </w:r>
    </w:p>
    <w:p>
      <w:pPr>
        <w:pStyle w:val="Style31"/>
        <w:keepNext w:val="true"/>
        <w:spacing w:before="60" w:after="0"/>
        <w:rPr/>
      </w:pPr>
      <w:r>
        <w:rPr>
          <w:rStyle w:val="Style17"/>
          <w:sz w:val="22"/>
          <w:szCs w:val="22"/>
        </w:rPr>
        <w:t xml:space="preserve">[Примечание (дополнительные удобства работы с Документацией о закупке; Microsoft Word | </w:t>
      </w:r>
      <w:r>
        <w:rPr>
          <w:rStyle w:val="Style17"/>
          <w:color w:val="4472C4" w:themeColor="accent1"/>
          <w:sz w:val="22"/>
          <w:szCs w:val="22"/>
        </w:rPr>
        <w:t>AlterOffice AText – отмечены отличая для данного текстового редактора</w:t>
      </w:r>
      <w:r>
        <w:rPr>
          <w:rStyle w:val="Style17"/>
          <w:sz w:val="22"/>
          <w:szCs w:val="22"/>
        </w:rPr>
        <w:t>):</w:t>
      </w:r>
    </w:p>
    <w:p>
      <w:pPr>
        <w:pStyle w:val="Style31"/>
        <w:numPr>
          <w:ilvl w:val="0"/>
          <w:numId w:val="13"/>
        </w:numPr>
        <w:spacing w:before="60" w:after="0"/>
        <w:ind w:hanging="284" w:left="284"/>
        <w:rPr/>
      </w:pPr>
      <w:r>
        <w:rPr>
          <w:rStyle w:val="Style17"/>
          <w:sz w:val="22"/>
          <w:szCs w:val="22"/>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7"/>
          <w:color w:val="4472C4" w:themeColor="accent1"/>
          <w:sz w:val="22"/>
          <w:szCs w:val="22"/>
        </w:rPr>
        <w:t>включается на вкладке «Вид» опцией «Навигатор»</w:t>
      </w:r>
      <w:r>
        <w:rPr>
          <w:rStyle w:val="Style17"/>
          <w:sz w:val="22"/>
          <w:szCs w:val="22"/>
        </w:rPr>
        <w:t>;</w:t>
      </w:r>
    </w:p>
    <w:p>
      <w:pPr>
        <w:pStyle w:val="Style31"/>
        <w:numPr>
          <w:ilvl w:val="0"/>
          <w:numId w:val="13"/>
        </w:numPr>
        <w:spacing w:before="60" w:after="0"/>
        <w:ind w:hanging="284" w:left="284"/>
        <w:rPr/>
      </w:pPr>
      <w:r>
        <w:rPr>
          <w:rStyle w:val="Style17"/>
          <w:sz w:val="22"/>
          <w:szCs w:val="22"/>
        </w:rPr>
        <w:t>переход по перекрестным и другим ссылкам осуществляется левым кликом мыши с</w:t>
      </w:r>
      <w:r>
        <w:rPr>
          <w:rStyle w:val="Style17"/>
          <w:sz w:val="22"/>
          <w:szCs w:val="22"/>
          <w:lang w:val="en-US"/>
        </w:rPr>
        <w:t> </w:t>
      </w:r>
      <w:r>
        <w:rPr>
          <w:rStyle w:val="Style17"/>
          <w:sz w:val="22"/>
          <w:szCs w:val="22"/>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7"/>
          <w:color w:val="4472C4" w:themeColor="accent1"/>
          <w:sz w:val="22"/>
          <w:szCs w:val="22"/>
        </w:rPr>
        <w:t>(обратный переход функционально не реализован в AlterOffice AText, пользуйтесь функциональностью «Навигатор»)</w:t>
      </w:r>
      <w:r>
        <w:rPr>
          <w:rStyle w:val="Style17"/>
          <w:sz w:val="22"/>
          <w:szCs w:val="22"/>
        </w:rPr>
        <w:t>;</w:t>
      </w:r>
    </w:p>
    <w:p>
      <w:pPr>
        <w:pStyle w:val="Style31"/>
        <w:numPr>
          <w:ilvl w:val="0"/>
          <w:numId w:val="13"/>
        </w:numPr>
        <w:spacing w:before="60" w:after="0"/>
        <w:ind w:hanging="284" w:left="284"/>
        <w:rPr/>
      </w:pPr>
      <w:r>
        <w:rPr>
          <w:rStyle w:val="Style17"/>
          <w:sz w:val="22"/>
          <w:szCs w:val="22"/>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7"/>
          <w:sz w:val="22"/>
          <w:szCs w:val="22"/>
          <w:lang w:val="en-US"/>
        </w:rPr>
        <w:t> </w:t>
      </w:r>
      <w:r>
        <w:rPr>
          <w:rStyle w:val="Style17"/>
          <w:sz w:val="22"/>
          <w:szCs w:val="22"/>
        </w:rPr>
        <w:t>тексте;</w:t>
      </w:r>
    </w:p>
    <w:p>
      <w:pPr>
        <w:pStyle w:val="Style31"/>
        <w:numPr>
          <w:ilvl w:val="0"/>
          <w:numId w:val="13"/>
        </w:numPr>
        <w:spacing w:before="60" w:after="0"/>
        <w:ind w:hanging="284" w:left="284"/>
        <w:rPr/>
      </w:pPr>
      <w:r>
        <w:rPr>
          <w:rStyle w:val="Style17"/>
          <w:color w:val="4472C4" w:themeColor="accent1"/>
          <w:sz w:val="22"/>
          <w:szCs w:val="22"/>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7"/>
          <w:sz w:val="22"/>
          <w:szCs w:val="22"/>
        </w:rPr>
        <w:t>.]</w:t>
      </w:r>
    </w:p>
    <w:p>
      <w:pPr>
        <w:pStyle w:val="Style30"/>
        <w:numPr>
          <w:ilvl w:val="0"/>
          <w:numId w:val="0"/>
        </w:numPr>
        <w:ind w:hanging="0" w:left="0"/>
        <w:outlineLvl w:val="0"/>
        <w:rPr>
          <w:rFonts w:ascii="Times New Roman" w:hAnsi="Times New Roman"/>
          <w:sz w:val="22"/>
          <w:szCs w:val="22"/>
        </w:rPr>
      </w:pPr>
      <w:bookmarkStart w:id="0" w:name="_Toc230928825"/>
      <w:r>
        <w:rPr>
          <w:sz w:val="22"/>
          <w:szCs w:val="22"/>
        </w:rPr>
        <w:t>Сокращения</w:t>
      </w:r>
      <w:bookmarkEnd w:id="0"/>
    </w:p>
    <w:p>
      <w:pPr>
        <w:pStyle w:val="Style31"/>
        <w:ind w:firstLine="567"/>
        <w:rPr>
          <w:rFonts w:ascii="Times New Roman" w:hAnsi="Times New Roman"/>
          <w:sz w:val="22"/>
          <w:szCs w:val="22"/>
        </w:rPr>
      </w:pPr>
      <w:r>
        <w:rPr>
          <w:b/>
          <w:bCs/>
          <w:sz w:val="22"/>
          <w:szCs w:val="22"/>
        </w:rPr>
        <w:t>ГК РФ</w:t>
      </w:r>
      <w:r>
        <w:rPr>
          <w:sz w:val="22"/>
          <w:szCs w:val="22"/>
        </w:rPr>
        <w:t xml:space="preserve"> – Гражданской кодекс Российской Федерации.</w:t>
      </w:r>
    </w:p>
    <w:p>
      <w:pPr>
        <w:pStyle w:val="Style31"/>
        <w:ind w:firstLine="567"/>
        <w:rPr>
          <w:rFonts w:ascii="Times New Roman" w:hAnsi="Times New Roman"/>
          <w:sz w:val="22"/>
          <w:szCs w:val="22"/>
        </w:rPr>
      </w:pPr>
      <w:r>
        <w:rPr>
          <w:b/>
          <w:bCs/>
          <w:sz w:val="22"/>
          <w:szCs w:val="22"/>
        </w:rPr>
        <w:t>ЕАЭС</w:t>
      </w:r>
      <w:r>
        <w:rPr>
          <w:sz w:val="22"/>
          <w:szCs w:val="22"/>
        </w:rPr>
        <w:t xml:space="preserve"> – Евразийский экономический союз.</w:t>
      </w:r>
    </w:p>
    <w:p>
      <w:pPr>
        <w:pStyle w:val="Style31"/>
        <w:ind w:firstLine="567"/>
        <w:rPr>
          <w:rFonts w:ascii="Times New Roman" w:hAnsi="Times New Roman"/>
          <w:sz w:val="22"/>
          <w:szCs w:val="22"/>
        </w:rPr>
      </w:pPr>
      <w:r>
        <w:rPr>
          <w:b/>
          <w:bCs/>
          <w:sz w:val="22"/>
          <w:szCs w:val="22"/>
        </w:rPr>
        <w:t>ЕГРИП</w:t>
      </w:r>
      <w:r>
        <w:rPr>
          <w:sz w:val="22"/>
          <w:szCs w:val="22"/>
        </w:rPr>
        <w:t xml:space="preserve"> – Единый государственный реестр индивидуальных предпринимателей.</w:t>
      </w:r>
    </w:p>
    <w:p>
      <w:pPr>
        <w:pStyle w:val="Style31"/>
        <w:ind w:firstLine="567"/>
        <w:rPr>
          <w:rFonts w:ascii="Times New Roman" w:hAnsi="Times New Roman"/>
          <w:sz w:val="22"/>
          <w:szCs w:val="22"/>
        </w:rPr>
      </w:pPr>
      <w:r>
        <w:rPr>
          <w:b/>
          <w:bCs/>
          <w:sz w:val="22"/>
          <w:szCs w:val="22"/>
        </w:rPr>
        <w:t>ЕГРЮЛ</w:t>
      </w:r>
      <w:r>
        <w:rPr>
          <w:sz w:val="22"/>
          <w:szCs w:val="22"/>
        </w:rPr>
        <w:t xml:space="preserve"> – Единый государственный реестр юридических лиц.</w:t>
      </w:r>
    </w:p>
    <w:p>
      <w:pPr>
        <w:pStyle w:val="Style31"/>
        <w:ind w:firstLine="567"/>
        <w:rPr>
          <w:rFonts w:ascii="Times New Roman" w:hAnsi="Times New Roman"/>
          <w:sz w:val="22"/>
          <w:szCs w:val="22"/>
        </w:rPr>
      </w:pPr>
      <w:r>
        <w:rPr>
          <w:b/>
          <w:bCs/>
          <w:sz w:val="22"/>
          <w:szCs w:val="22"/>
        </w:rPr>
        <w:t>ЕИС</w:t>
      </w:r>
      <w:r>
        <w:rPr>
          <w:sz w:val="22"/>
          <w:szCs w:val="22"/>
        </w:rPr>
        <w:t xml:space="preserve"> – Единая информационная система в сфере закупок.</w:t>
      </w:r>
    </w:p>
    <w:p>
      <w:pPr>
        <w:pStyle w:val="Style31"/>
        <w:ind w:firstLine="567"/>
        <w:rPr>
          <w:rFonts w:ascii="Times New Roman" w:hAnsi="Times New Roman"/>
          <w:sz w:val="22"/>
          <w:szCs w:val="22"/>
        </w:rPr>
      </w:pPr>
      <w:r>
        <w:rPr>
          <w:b/>
          <w:bCs/>
          <w:sz w:val="22"/>
          <w:szCs w:val="22"/>
        </w:rPr>
        <w:t>Закон 209-ФЗ</w:t>
      </w:r>
      <w:r>
        <w:rPr>
          <w:sz w:val="22"/>
          <w:szCs w:val="22"/>
        </w:rPr>
        <w:t xml:space="preserve"> – Федеральный закон от 24.07.2007 № 209-ФЗ «О развитии малого и среднего предпринимательства в Российской Федерации».</w:t>
      </w:r>
    </w:p>
    <w:p>
      <w:pPr>
        <w:pStyle w:val="Style31"/>
        <w:ind w:firstLine="567"/>
        <w:rPr>
          <w:rFonts w:ascii="Times New Roman" w:hAnsi="Times New Roman"/>
          <w:sz w:val="22"/>
          <w:szCs w:val="22"/>
        </w:rPr>
      </w:pPr>
      <w:r>
        <w:rPr>
          <w:b/>
          <w:bCs/>
          <w:sz w:val="22"/>
          <w:szCs w:val="22"/>
        </w:rPr>
        <w:t>Закон 223-ФЗ</w:t>
      </w:r>
      <w:r>
        <w:rPr>
          <w:sz w:val="22"/>
          <w:szCs w:val="22"/>
        </w:rPr>
        <w:t xml:space="preserve"> – Федеральный закон от 18.07.2011 № 223-ФЗ «О закупках товаров, работ, услуг отдельными видами юридических лиц».</w:t>
      </w:r>
    </w:p>
    <w:p>
      <w:pPr>
        <w:pStyle w:val="Style31"/>
        <w:ind w:firstLine="567"/>
        <w:rPr>
          <w:rFonts w:ascii="Times New Roman" w:hAnsi="Times New Roman"/>
          <w:sz w:val="22"/>
          <w:szCs w:val="22"/>
        </w:rPr>
      </w:pPr>
      <w:r>
        <w:rPr>
          <w:b/>
          <w:bCs/>
          <w:sz w:val="22"/>
          <w:szCs w:val="22"/>
        </w:rPr>
        <w:t>Закон 255-ФЗ</w:t>
      </w:r>
      <w:r>
        <w:rPr>
          <w:sz w:val="22"/>
          <w:szCs w:val="22"/>
        </w:rPr>
        <w:t xml:space="preserve"> – Федеральный закон от 14.07.2022 № 255-ФЗ «О контроле за деятельностью лиц, находящихся под иностранным влиянием».</w:t>
      </w:r>
    </w:p>
    <w:p>
      <w:pPr>
        <w:pStyle w:val="Style31"/>
        <w:ind w:firstLine="567"/>
        <w:rPr>
          <w:rFonts w:ascii="Times New Roman" w:hAnsi="Times New Roman"/>
          <w:sz w:val="22"/>
          <w:szCs w:val="22"/>
        </w:rPr>
      </w:pPr>
      <w:r>
        <w:rPr>
          <w:b/>
          <w:bCs/>
          <w:sz w:val="22"/>
          <w:szCs w:val="22"/>
        </w:rPr>
        <w:t>Закон 422-ФЗ</w:t>
      </w:r>
      <w:r>
        <w:rPr>
          <w:sz w:val="22"/>
          <w:szCs w:val="22"/>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1"/>
        <w:ind w:firstLine="567"/>
        <w:rPr>
          <w:rFonts w:ascii="Times New Roman" w:hAnsi="Times New Roman"/>
          <w:sz w:val="22"/>
          <w:szCs w:val="22"/>
        </w:rPr>
      </w:pPr>
      <w:r>
        <w:rPr>
          <w:b/>
          <w:bCs/>
          <w:sz w:val="22"/>
          <w:szCs w:val="22"/>
        </w:rPr>
        <w:t>Законодательство</w:t>
      </w:r>
      <w:r>
        <w:rPr>
          <w:sz w:val="22"/>
          <w:szCs w:val="22"/>
        </w:rPr>
        <w:t xml:space="preserve"> – законодательство Российской Федерации (если в тексте настоящей Документации о закупке прямо не указано иное).</w:t>
      </w:r>
    </w:p>
    <w:p>
      <w:pPr>
        <w:pStyle w:val="Style31"/>
        <w:ind w:firstLine="567"/>
        <w:rPr>
          <w:rFonts w:ascii="Times New Roman" w:hAnsi="Times New Roman"/>
          <w:sz w:val="22"/>
          <w:szCs w:val="22"/>
        </w:rPr>
      </w:pPr>
      <w:r>
        <w:rPr>
          <w:b/>
          <w:bCs/>
          <w:sz w:val="22"/>
          <w:szCs w:val="22"/>
        </w:rPr>
        <w:t>Извещение</w:t>
      </w:r>
      <w:r>
        <w:rPr>
          <w:sz w:val="22"/>
          <w:szCs w:val="22"/>
        </w:rPr>
        <w:t xml:space="preserve"> – извещение о проведении настоящей закупки.</w:t>
      </w:r>
    </w:p>
    <w:p>
      <w:pPr>
        <w:pStyle w:val="Style31"/>
        <w:ind w:firstLine="567"/>
        <w:rPr>
          <w:rFonts w:ascii="Times New Roman" w:hAnsi="Times New Roman"/>
          <w:sz w:val="22"/>
          <w:szCs w:val="22"/>
        </w:rPr>
      </w:pPr>
      <w:r>
        <w:rPr>
          <w:b/>
          <w:bCs/>
          <w:sz w:val="22"/>
          <w:szCs w:val="22"/>
        </w:rPr>
        <w:t>ИНН</w:t>
      </w:r>
      <w:r>
        <w:rPr>
          <w:sz w:val="22"/>
          <w:szCs w:val="22"/>
        </w:rPr>
        <w:t xml:space="preserve"> – идентификационный номер налогоплательщика.</w:t>
      </w:r>
    </w:p>
    <w:p>
      <w:pPr>
        <w:pStyle w:val="Style31"/>
        <w:ind w:firstLine="567"/>
        <w:rPr>
          <w:rFonts w:ascii="Times New Roman" w:hAnsi="Times New Roman"/>
          <w:sz w:val="22"/>
          <w:szCs w:val="22"/>
        </w:rPr>
      </w:pPr>
      <w:r>
        <w:rPr>
          <w:b/>
          <w:bCs/>
          <w:sz w:val="22"/>
          <w:szCs w:val="22"/>
        </w:rPr>
        <w:t>ИФНС</w:t>
      </w:r>
      <w:r>
        <w:rPr>
          <w:sz w:val="22"/>
          <w:szCs w:val="22"/>
        </w:rPr>
        <w:t xml:space="preserve"> – инспекция Федеральной налоговой службы Российской Федерации.</w:t>
      </w:r>
    </w:p>
    <w:p>
      <w:pPr>
        <w:pStyle w:val="Style31"/>
        <w:ind w:firstLine="567"/>
        <w:rPr>
          <w:rFonts w:ascii="Times New Roman" w:hAnsi="Times New Roman"/>
          <w:sz w:val="22"/>
          <w:szCs w:val="22"/>
        </w:rPr>
      </w:pPr>
      <w:r>
        <w:rPr>
          <w:b/>
          <w:bCs/>
          <w:sz w:val="22"/>
          <w:szCs w:val="22"/>
        </w:rPr>
        <w:t>МТР</w:t>
      </w:r>
      <w:r>
        <w:rPr>
          <w:sz w:val="22"/>
          <w:szCs w:val="22"/>
        </w:rPr>
        <w:t xml:space="preserve"> – материально-технические ресурсы.</w:t>
      </w:r>
    </w:p>
    <w:p>
      <w:pPr>
        <w:pStyle w:val="Style31"/>
        <w:ind w:firstLine="567"/>
        <w:rPr>
          <w:rFonts w:ascii="Times New Roman" w:hAnsi="Times New Roman"/>
          <w:sz w:val="22"/>
          <w:szCs w:val="22"/>
        </w:rPr>
      </w:pPr>
      <w:r>
        <w:rPr>
          <w:b/>
          <w:bCs/>
          <w:sz w:val="22"/>
          <w:szCs w:val="22"/>
        </w:rPr>
        <w:t>НДС</w:t>
      </w:r>
      <w:r>
        <w:rPr>
          <w:sz w:val="22"/>
          <w:szCs w:val="22"/>
        </w:rPr>
        <w:t xml:space="preserve"> – налог на добавленную стоимость.</w:t>
      </w:r>
    </w:p>
    <w:p>
      <w:pPr>
        <w:pStyle w:val="Style31"/>
        <w:ind w:firstLine="567"/>
        <w:rPr>
          <w:rFonts w:ascii="Times New Roman" w:hAnsi="Times New Roman"/>
          <w:sz w:val="22"/>
          <w:szCs w:val="22"/>
        </w:rPr>
      </w:pPr>
      <w:r>
        <w:rPr>
          <w:b/>
          <w:bCs/>
          <w:sz w:val="22"/>
          <w:szCs w:val="22"/>
        </w:rPr>
        <w:t>НМЦ</w:t>
      </w:r>
      <w:r>
        <w:rPr>
          <w:sz w:val="22"/>
          <w:szCs w:val="22"/>
        </w:rPr>
        <w:t xml:space="preserve"> – начальная (максимальная) цена договора.</w:t>
      </w:r>
    </w:p>
    <w:p>
      <w:pPr>
        <w:pStyle w:val="Style31"/>
        <w:ind w:firstLine="567"/>
        <w:rPr>
          <w:rFonts w:ascii="Times New Roman" w:hAnsi="Times New Roman"/>
          <w:sz w:val="22"/>
          <w:szCs w:val="22"/>
        </w:rPr>
      </w:pPr>
      <w:r>
        <w:rPr>
          <w:b/>
          <w:bCs/>
          <w:sz w:val="22"/>
          <w:szCs w:val="22"/>
        </w:rPr>
        <w:t>Оператор ЭП</w:t>
      </w:r>
      <w:r>
        <w:rPr>
          <w:sz w:val="22"/>
          <w:szCs w:val="22"/>
        </w:rPr>
        <w:t xml:space="preserve"> – оператор электронной площадки.</w:t>
      </w:r>
    </w:p>
    <w:p>
      <w:pPr>
        <w:pStyle w:val="Style31"/>
        <w:ind w:firstLine="567"/>
        <w:rPr>
          <w:rFonts w:ascii="Times New Roman" w:hAnsi="Times New Roman"/>
          <w:sz w:val="22"/>
          <w:szCs w:val="22"/>
        </w:rPr>
      </w:pPr>
      <w:r>
        <w:rPr>
          <w:b/>
          <w:bCs/>
          <w:sz w:val="22"/>
          <w:szCs w:val="22"/>
        </w:rPr>
        <w:t>Официальный сайт</w:t>
      </w:r>
      <w:r>
        <w:rPr>
          <w:sz w:val="22"/>
          <w:szCs w:val="22"/>
        </w:rPr>
        <w:t xml:space="preserve"> – официальный сайт Единой информационной системы в сфере закупок, расположенный в сети Интернет по </w:t>
      </w:r>
      <w:r>
        <w:rPr>
          <w:sz w:val="22"/>
          <w:szCs w:val="22"/>
          <w:lang w:val="en-US"/>
        </w:rPr>
        <w:t>URL</w:t>
      </w:r>
      <w:r>
        <w:rPr>
          <w:sz w:val="22"/>
          <w:szCs w:val="22"/>
        </w:rPr>
        <w:t>-адресу https://zakupki.gov.ru/.</w:t>
      </w:r>
    </w:p>
    <w:p>
      <w:pPr>
        <w:pStyle w:val="Style31"/>
        <w:ind w:firstLine="567"/>
        <w:rPr>
          <w:rFonts w:ascii="Times New Roman" w:hAnsi="Times New Roman"/>
          <w:sz w:val="22"/>
          <w:szCs w:val="22"/>
        </w:rPr>
      </w:pPr>
      <w:r>
        <w:rPr>
          <w:b/>
          <w:bCs/>
          <w:sz w:val="22"/>
          <w:szCs w:val="22"/>
        </w:rPr>
        <w:t>Положение о закупке</w:t>
      </w:r>
      <w:r>
        <w:rPr>
          <w:sz w:val="22"/>
          <w:szCs w:val="22"/>
        </w:rPr>
        <w:t xml:space="preserve"> – Единое Положение о закупке продукции для нужд Группы РусГидро.</w:t>
      </w:r>
    </w:p>
    <w:p>
      <w:pPr>
        <w:pStyle w:val="Style31"/>
        <w:ind w:firstLine="567"/>
        <w:rPr>
          <w:rFonts w:ascii="Times New Roman" w:hAnsi="Times New Roman"/>
          <w:sz w:val="22"/>
          <w:szCs w:val="22"/>
        </w:rPr>
      </w:pPr>
      <w:r>
        <w:rPr>
          <w:b/>
          <w:bCs/>
          <w:sz w:val="22"/>
          <w:szCs w:val="22"/>
        </w:rPr>
        <w:t>Положение об аккредитации</w:t>
      </w:r>
      <w:r>
        <w:rPr>
          <w:sz w:val="22"/>
          <w:szCs w:val="22"/>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1"/>
        <w:ind w:firstLine="567"/>
        <w:rPr>
          <w:rFonts w:ascii="Times New Roman" w:hAnsi="Times New Roman"/>
          <w:sz w:val="22"/>
          <w:szCs w:val="22"/>
        </w:rPr>
      </w:pPr>
      <w:r>
        <w:rPr>
          <w:b/>
          <w:bCs/>
          <w:sz w:val="22"/>
          <w:szCs w:val="22"/>
        </w:rPr>
        <w:t>ПП 325</w:t>
      </w:r>
      <w:r>
        <w:rPr>
          <w:sz w:val="22"/>
          <w:szCs w:val="22"/>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1"/>
        <w:ind w:firstLine="567"/>
        <w:rPr>
          <w:rFonts w:ascii="Times New Roman" w:hAnsi="Times New Roman"/>
          <w:sz w:val="22"/>
          <w:szCs w:val="22"/>
        </w:rPr>
      </w:pPr>
      <w:r>
        <w:rPr>
          <w:b/>
          <w:bCs/>
          <w:sz w:val="22"/>
          <w:szCs w:val="22"/>
        </w:rPr>
        <w:t>ПП 719</w:t>
      </w:r>
      <w:r>
        <w:rPr>
          <w:sz w:val="22"/>
          <w:szCs w:val="22"/>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1"/>
        <w:ind w:firstLine="567"/>
        <w:rPr>
          <w:rFonts w:ascii="Times New Roman" w:hAnsi="Times New Roman"/>
          <w:sz w:val="22"/>
          <w:szCs w:val="22"/>
        </w:rPr>
      </w:pPr>
      <w:r>
        <w:rPr>
          <w:b/>
          <w:bCs/>
          <w:sz w:val="22"/>
          <w:szCs w:val="22"/>
        </w:rPr>
        <w:t>ПП 1352</w:t>
      </w:r>
      <w:r>
        <w:rPr>
          <w:sz w:val="22"/>
          <w:szCs w:val="22"/>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1"/>
        <w:ind w:firstLine="567"/>
        <w:rPr>
          <w:rFonts w:ascii="Times New Roman" w:hAnsi="Times New Roman"/>
          <w:sz w:val="22"/>
          <w:szCs w:val="22"/>
        </w:rPr>
      </w:pPr>
      <w:r>
        <w:rPr>
          <w:b/>
          <w:bCs/>
          <w:sz w:val="22"/>
          <w:szCs w:val="22"/>
        </w:rPr>
        <w:t>ПП 1875</w:t>
      </w:r>
      <w:r>
        <w:rPr>
          <w:sz w:val="22"/>
          <w:szCs w:val="22"/>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1"/>
        <w:ind w:firstLine="567"/>
        <w:rPr>
          <w:rFonts w:ascii="Times New Roman" w:hAnsi="Times New Roman"/>
          <w:sz w:val="22"/>
          <w:szCs w:val="22"/>
        </w:rPr>
      </w:pPr>
      <w:r>
        <w:rPr>
          <w:b/>
          <w:bCs/>
          <w:sz w:val="22"/>
          <w:szCs w:val="22"/>
        </w:rPr>
        <w:t>Реестр МСП</w:t>
      </w:r>
      <w:r>
        <w:rPr>
          <w:sz w:val="22"/>
          <w:szCs w:val="22"/>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1"/>
        <w:ind w:firstLine="567"/>
        <w:rPr>
          <w:rFonts w:ascii="Times New Roman" w:hAnsi="Times New Roman"/>
          <w:sz w:val="22"/>
          <w:szCs w:val="22"/>
        </w:rPr>
      </w:pPr>
      <w:r>
        <w:rPr>
          <w:b/>
          <w:bCs/>
          <w:sz w:val="22"/>
          <w:szCs w:val="22"/>
        </w:rPr>
        <w:t>Система ЭДО</w:t>
      </w:r>
      <w:r>
        <w:rPr>
          <w:rStyle w:val="FootnoteReference"/>
          <w:b/>
          <w:bCs/>
          <w:sz w:val="22"/>
          <w:szCs w:val="22"/>
        </w:rPr>
        <w:footnoteReference w:id="2"/>
      </w:r>
      <w:r>
        <w:rPr>
          <w:sz w:val="22"/>
          <w:szCs w:val="22"/>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31"/>
        <w:ind w:firstLine="567"/>
        <w:rPr>
          <w:rFonts w:ascii="Times New Roman" w:hAnsi="Times New Roman"/>
          <w:sz w:val="22"/>
          <w:szCs w:val="22"/>
        </w:rPr>
      </w:pPr>
      <w:r>
        <w:rPr>
          <w:b/>
          <w:bCs/>
          <w:sz w:val="22"/>
          <w:szCs w:val="22"/>
        </w:rPr>
        <w:t>Стороны</w:t>
      </w:r>
      <w:r>
        <w:rPr>
          <w:sz w:val="22"/>
          <w:szCs w:val="22"/>
        </w:rPr>
        <w:t xml:space="preserve"> – Организатор, Заказчик и Участники, являющиеся сторонами данной закупки (при совместном упоминании).</w:t>
      </w:r>
    </w:p>
    <w:p>
      <w:pPr>
        <w:pStyle w:val="Style31"/>
        <w:ind w:firstLine="567"/>
        <w:rPr>
          <w:rFonts w:ascii="Times New Roman" w:hAnsi="Times New Roman"/>
          <w:sz w:val="22"/>
          <w:szCs w:val="22"/>
        </w:rPr>
      </w:pPr>
      <w:r>
        <w:rPr>
          <w:b/>
          <w:bCs/>
          <w:sz w:val="22"/>
          <w:szCs w:val="22"/>
        </w:rPr>
        <w:t>Субъект МСП</w:t>
      </w:r>
      <w:r>
        <w:rPr>
          <w:sz w:val="22"/>
          <w:szCs w:val="22"/>
        </w:rPr>
        <w:t xml:space="preserve"> – субъект малого и среднего предпринимательства.</w:t>
      </w:r>
    </w:p>
    <w:p>
      <w:pPr>
        <w:pStyle w:val="Style31"/>
        <w:ind w:firstLine="567"/>
        <w:rPr>
          <w:rFonts w:ascii="Times New Roman" w:hAnsi="Times New Roman"/>
          <w:sz w:val="22"/>
          <w:szCs w:val="22"/>
        </w:rPr>
      </w:pPr>
      <w:r>
        <w:rPr>
          <w:b/>
          <w:bCs/>
          <w:sz w:val="22"/>
          <w:szCs w:val="22"/>
        </w:rPr>
        <w:t>ЭП</w:t>
      </w:r>
      <w:r>
        <w:rPr>
          <w:sz w:val="22"/>
          <w:szCs w:val="22"/>
        </w:rPr>
        <w:t xml:space="preserve"> – электронная площадка.</w:t>
      </w:r>
    </w:p>
    <w:p>
      <w:pPr>
        <w:pStyle w:val="Style30"/>
        <w:numPr>
          <w:ilvl w:val="0"/>
          <w:numId w:val="0"/>
        </w:numPr>
        <w:ind w:hanging="0" w:left="0"/>
        <w:outlineLvl w:val="0"/>
        <w:rPr>
          <w:rFonts w:ascii="Times New Roman" w:hAnsi="Times New Roman"/>
          <w:sz w:val="22"/>
          <w:szCs w:val="22"/>
        </w:rPr>
      </w:pPr>
      <w:bookmarkStart w:id="1" w:name="_Toc230928826"/>
      <w:r>
        <w:rPr>
          <w:sz w:val="22"/>
          <w:szCs w:val="22"/>
        </w:rPr>
        <w:t>Термины и определения</w:t>
      </w:r>
      <w:bookmarkEnd w:id="1"/>
    </w:p>
    <w:p>
      <w:pPr>
        <w:pStyle w:val="Style31"/>
        <w:ind w:firstLine="567"/>
        <w:rPr>
          <w:rFonts w:ascii="Times New Roman" w:hAnsi="Times New Roman"/>
          <w:sz w:val="22"/>
          <w:szCs w:val="22"/>
        </w:rPr>
      </w:pPr>
      <w:r>
        <w:rPr>
          <w:b/>
          <w:bCs/>
          <w:sz w:val="22"/>
          <w:szCs w:val="22"/>
        </w:rPr>
        <w:t>Аккредитация</w:t>
      </w:r>
      <w:r>
        <w:rPr>
          <w:sz w:val="22"/>
          <w:szCs w:val="22"/>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1"/>
        <w:ind w:firstLine="567"/>
        <w:rPr>
          <w:rFonts w:ascii="Times New Roman" w:hAnsi="Times New Roman"/>
          <w:sz w:val="22"/>
          <w:szCs w:val="22"/>
        </w:rPr>
      </w:pPr>
      <w:r>
        <w:rPr>
          <w:b/>
          <w:bCs/>
          <w:sz w:val="22"/>
          <w:szCs w:val="22"/>
        </w:rPr>
        <w:t>Актуализация статуса (аккредитации)</w:t>
      </w:r>
      <w:r>
        <w:rPr>
          <w:sz w:val="22"/>
          <w:szCs w:val="22"/>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1"/>
        <w:ind w:firstLine="567"/>
        <w:rPr>
          <w:rFonts w:ascii="Times New Roman" w:hAnsi="Times New Roman"/>
          <w:sz w:val="22"/>
          <w:szCs w:val="22"/>
        </w:rPr>
      </w:pPr>
      <w:r>
        <w:rPr>
          <w:b/>
          <w:bCs/>
          <w:sz w:val="22"/>
          <w:szCs w:val="22"/>
        </w:rPr>
        <w:t>Альтернативное предложение</w:t>
      </w:r>
      <w:r>
        <w:rPr>
          <w:sz w:val="22"/>
          <w:szCs w:val="22"/>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31"/>
        <w:ind w:firstLine="567"/>
        <w:rPr>
          <w:rFonts w:ascii="Times New Roman" w:hAnsi="Times New Roman"/>
          <w:sz w:val="22"/>
          <w:szCs w:val="22"/>
        </w:rPr>
      </w:pPr>
      <w:r>
        <w:rPr>
          <w:b/>
          <w:bCs/>
          <w:sz w:val="22"/>
          <w:szCs w:val="22"/>
        </w:rPr>
        <w:t>Генеральный подрядчик</w:t>
      </w:r>
      <w:r>
        <w:rPr>
          <w:sz w:val="22"/>
          <w:szCs w:val="22"/>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1"/>
        <w:ind w:firstLine="567"/>
        <w:rPr>
          <w:rFonts w:ascii="Times New Roman" w:hAnsi="Times New Roman"/>
          <w:sz w:val="22"/>
          <w:szCs w:val="22"/>
        </w:rPr>
      </w:pPr>
      <w:r>
        <w:rPr>
          <w:b/>
          <w:bCs/>
          <w:sz w:val="22"/>
          <w:szCs w:val="22"/>
        </w:rPr>
        <w:t>Документация о закупке</w:t>
      </w:r>
      <w:r>
        <w:rPr>
          <w:sz w:val="22"/>
          <w:szCs w:val="22"/>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1"/>
        <w:ind w:firstLine="567"/>
        <w:rPr>
          <w:rFonts w:ascii="Times New Roman" w:hAnsi="Times New Roman"/>
          <w:sz w:val="22"/>
          <w:szCs w:val="22"/>
        </w:rPr>
      </w:pPr>
      <w:r>
        <w:rPr>
          <w:b/>
          <w:bCs/>
          <w:sz w:val="22"/>
          <w:szCs w:val="22"/>
        </w:rPr>
        <w:t>Единая информационная система в сфере закупок</w:t>
      </w:r>
      <w:r>
        <w:rPr>
          <w:sz w:val="22"/>
          <w:szCs w:val="22"/>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1"/>
        <w:ind w:firstLine="567"/>
        <w:rPr>
          <w:rFonts w:ascii="Times New Roman" w:hAnsi="Times New Roman"/>
          <w:sz w:val="22"/>
          <w:szCs w:val="22"/>
        </w:rPr>
      </w:pPr>
      <w:r>
        <w:rPr>
          <w:b/>
          <w:bCs/>
          <w:sz w:val="22"/>
          <w:szCs w:val="22"/>
        </w:rPr>
        <w:t>Единый реестр субъектов малого и среднего предпринимательства</w:t>
      </w:r>
      <w:r>
        <w:rPr>
          <w:sz w:val="22"/>
          <w:szCs w:val="22"/>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1"/>
        <w:ind w:firstLine="567"/>
        <w:rPr>
          <w:rFonts w:ascii="Times New Roman" w:hAnsi="Times New Roman"/>
          <w:sz w:val="22"/>
          <w:szCs w:val="22"/>
        </w:rPr>
      </w:pPr>
      <w:r>
        <w:rPr>
          <w:b/>
          <w:bCs/>
          <w:sz w:val="22"/>
          <w:szCs w:val="22"/>
        </w:rPr>
        <w:t>Заказчик</w:t>
      </w:r>
      <w:r>
        <w:rPr>
          <w:sz w:val="22"/>
          <w:szCs w:val="22"/>
        </w:rPr>
        <w:t xml:space="preserve"> – юридическое лицо, в интересах и за счет средств, которого осуществляется закупка.</w:t>
      </w:r>
    </w:p>
    <w:p>
      <w:pPr>
        <w:pStyle w:val="Style31"/>
        <w:ind w:firstLine="567"/>
        <w:rPr>
          <w:rFonts w:ascii="Times New Roman" w:hAnsi="Times New Roman"/>
          <w:sz w:val="22"/>
          <w:szCs w:val="22"/>
        </w:rPr>
      </w:pPr>
      <w:r>
        <w:rPr>
          <w:b/>
          <w:bCs/>
          <w:sz w:val="22"/>
          <w:szCs w:val="22"/>
        </w:rPr>
        <w:t>Закупка</w:t>
      </w:r>
      <w:r>
        <w:rPr>
          <w:sz w:val="22"/>
          <w:szCs w:val="22"/>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1"/>
        <w:ind w:firstLine="567"/>
        <w:rPr>
          <w:rFonts w:ascii="Times New Roman" w:hAnsi="Times New Roman"/>
          <w:sz w:val="22"/>
          <w:szCs w:val="22"/>
        </w:rPr>
      </w:pPr>
      <w:r>
        <w:rPr>
          <w:b/>
          <w:bCs/>
          <w:sz w:val="22"/>
          <w:szCs w:val="22"/>
        </w:rPr>
        <w:t>Закупочная комиссия</w:t>
      </w:r>
      <w:r>
        <w:rPr>
          <w:sz w:val="22"/>
          <w:szCs w:val="22"/>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1"/>
        <w:ind w:firstLine="567"/>
        <w:rPr>
          <w:rFonts w:ascii="Times New Roman" w:hAnsi="Times New Roman"/>
          <w:sz w:val="22"/>
          <w:szCs w:val="22"/>
        </w:rPr>
      </w:pPr>
      <w:r>
        <w:rPr>
          <w:b/>
          <w:bCs/>
          <w:sz w:val="22"/>
          <w:szCs w:val="22"/>
        </w:rPr>
        <w:t>Заявка (заявка на участие в закупке)</w:t>
      </w:r>
      <w:r>
        <w:rPr>
          <w:sz w:val="22"/>
          <w:szCs w:val="22"/>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1"/>
        <w:ind w:firstLine="567"/>
        <w:rPr>
          <w:rFonts w:ascii="Times New Roman" w:hAnsi="Times New Roman"/>
          <w:sz w:val="22"/>
          <w:szCs w:val="22"/>
        </w:rPr>
      </w:pPr>
      <w:r>
        <w:rPr>
          <w:b/>
          <w:bCs/>
          <w:sz w:val="22"/>
          <w:szCs w:val="22"/>
        </w:rPr>
        <w:t>Заявка на аккредитацию</w:t>
      </w:r>
      <w:r>
        <w:rPr>
          <w:sz w:val="22"/>
          <w:szCs w:val="22"/>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1"/>
        <w:ind w:firstLine="567"/>
        <w:rPr>
          <w:rFonts w:ascii="Times New Roman" w:hAnsi="Times New Roman"/>
          <w:sz w:val="22"/>
          <w:szCs w:val="22"/>
        </w:rPr>
      </w:pPr>
      <w:r>
        <w:rPr>
          <w:b/>
          <w:bCs/>
          <w:sz w:val="22"/>
          <w:szCs w:val="22"/>
        </w:rPr>
        <w:t>Извещение о закупке (Извещение)</w:t>
      </w:r>
      <w:r>
        <w:rPr>
          <w:sz w:val="22"/>
          <w:szCs w:val="22"/>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1"/>
        <w:ind w:firstLine="567"/>
        <w:rPr>
          <w:rFonts w:ascii="Times New Roman" w:hAnsi="Times New Roman"/>
          <w:sz w:val="22"/>
          <w:szCs w:val="22"/>
        </w:rPr>
      </w:pPr>
      <w:r>
        <w:rPr>
          <w:b/>
          <w:bCs/>
          <w:sz w:val="22"/>
          <w:szCs w:val="22"/>
        </w:rPr>
        <w:t>Интеллектуальные системы управления электросетевым хозяйством</w:t>
      </w:r>
      <w:r>
        <w:rPr>
          <w:sz w:val="22"/>
          <w:szCs w:val="22"/>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1"/>
        <w:ind w:firstLine="567"/>
        <w:rPr>
          <w:rFonts w:ascii="Times New Roman" w:hAnsi="Times New Roman"/>
          <w:sz w:val="22"/>
          <w:szCs w:val="22"/>
        </w:rPr>
      </w:pPr>
      <w:r>
        <w:rPr>
          <w:b/>
          <w:bCs/>
          <w:sz w:val="22"/>
          <w:szCs w:val="22"/>
        </w:rPr>
        <w:t>Коллективный участник</w:t>
      </w:r>
      <w:r>
        <w:rPr>
          <w:sz w:val="22"/>
          <w:szCs w:val="22"/>
        </w:rPr>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pPr>
        <w:pStyle w:val="Style31"/>
        <w:ind w:firstLine="567"/>
        <w:rPr>
          <w:rFonts w:ascii="Times New Roman" w:hAnsi="Times New Roman"/>
          <w:sz w:val="22"/>
          <w:szCs w:val="22"/>
        </w:rPr>
      </w:pPr>
      <w:r>
        <w:rPr>
          <w:b/>
          <w:bCs/>
          <w:sz w:val="22"/>
          <w:szCs w:val="22"/>
        </w:rPr>
        <w:t>Лот</w:t>
      </w:r>
      <w:r>
        <w:rPr>
          <w:sz w:val="22"/>
          <w:szCs w:val="22"/>
        </w:rPr>
        <w:t xml:space="preserve"> – продукция, на которую в рамках закупки допускаются подача отдельного предложения и заключение отдельного договора.</w:t>
      </w:r>
    </w:p>
    <w:p>
      <w:pPr>
        <w:pStyle w:val="Style31"/>
        <w:ind w:firstLine="567"/>
        <w:rPr>
          <w:rFonts w:ascii="Times New Roman" w:hAnsi="Times New Roman"/>
          <w:sz w:val="22"/>
          <w:szCs w:val="22"/>
        </w:rPr>
      </w:pPr>
      <w:r>
        <w:rPr>
          <w:b/>
          <w:bCs/>
          <w:sz w:val="22"/>
          <w:szCs w:val="22"/>
        </w:rPr>
        <w:t>Мониторинг аккредитованных поставщиков</w:t>
      </w:r>
      <w:r>
        <w:rPr>
          <w:sz w:val="22"/>
          <w:szCs w:val="22"/>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1"/>
        <w:ind w:firstLine="567"/>
        <w:rPr>
          <w:rFonts w:ascii="Times New Roman" w:hAnsi="Times New Roman"/>
          <w:sz w:val="22"/>
          <w:szCs w:val="22"/>
        </w:rPr>
      </w:pPr>
      <w:r>
        <w:rPr>
          <w:b/>
          <w:bCs/>
          <w:sz w:val="22"/>
          <w:szCs w:val="22"/>
        </w:rPr>
        <w:t>Начальная (максимальная) цена договора</w:t>
      </w:r>
      <w:r>
        <w:rPr>
          <w:sz w:val="22"/>
          <w:szCs w:val="22"/>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1"/>
        <w:ind w:firstLine="567"/>
        <w:rPr>
          <w:rFonts w:ascii="Times New Roman" w:hAnsi="Times New Roman"/>
          <w:sz w:val="22"/>
          <w:szCs w:val="22"/>
        </w:rPr>
      </w:pPr>
      <w:r>
        <w:rPr>
          <w:b/>
          <w:bCs/>
          <w:sz w:val="22"/>
          <w:szCs w:val="22"/>
        </w:rPr>
        <w:t>Оператор электронной площадки</w:t>
      </w:r>
      <w:r>
        <w:rPr>
          <w:sz w:val="22"/>
          <w:szCs w:val="22"/>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1"/>
        <w:ind w:firstLine="567"/>
        <w:rPr>
          <w:rFonts w:ascii="Times New Roman" w:hAnsi="Times New Roman"/>
          <w:sz w:val="22"/>
          <w:szCs w:val="22"/>
        </w:rPr>
      </w:pPr>
      <w:r>
        <w:rPr>
          <w:b/>
          <w:bCs/>
          <w:sz w:val="22"/>
          <w:szCs w:val="22"/>
        </w:rPr>
        <w:t>Организатор</w:t>
      </w:r>
      <w:r>
        <w:rPr>
          <w:sz w:val="22"/>
          <w:szCs w:val="22"/>
        </w:rPr>
        <w:t xml:space="preserve"> – Заказчик или действующее по договору с ним юридическое лицо, выступающее Сторонним организатором закупки.</w:t>
      </w:r>
    </w:p>
    <w:p>
      <w:pPr>
        <w:pStyle w:val="Style31"/>
        <w:ind w:firstLine="567"/>
        <w:rPr>
          <w:rFonts w:ascii="Times New Roman" w:hAnsi="Times New Roman"/>
          <w:sz w:val="22"/>
          <w:szCs w:val="22"/>
        </w:rPr>
      </w:pPr>
      <w:r>
        <w:rPr>
          <w:b/>
          <w:bCs/>
          <w:sz w:val="22"/>
          <w:szCs w:val="22"/>
        </w:rPr>
        <w:t>Официальное размещение</w:t>
      </w:r>
      <w:r>
        <w:rPr>
          <w:sz w:val="22"/>
          <w:szCs w:val="22"/>
        </w:rPr>
        <w:t xml:space="preserve"> – размещение информации о закупке в ЕИС, на</w:t>
      </w:r>
      <w:r>
        <w:rPr>
          <w:sz w:val="22"/>
          <w:szCs w:val="22"/>
          <w:lang w:val="en-US"/>
        </w:rPr>
        <w:t> </w:t>
      </w:r>
      <w:r>
        <w:rPr>
          <w:sz w:val="22"/>
          <w:szCs w:val="22"/>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1"/>
        <w:ind w:firstLine="567"/>
        <w:rPr>
          <w:rFonts w:ascii="Times New Roman" w:hAnsi="Times New Roman"/>
          <w:sz w:val="22"/>
          <w:szCs w:val="22"/>
        </w:rPr>
      </w:pPr>
      <w:r>
        <w:rPr>
          <w:b/>
          <w:bCs/>
          <w:sz w:val="22"/>
          <w:szCs w:val="22"/>
        </w:rPr>
        <w:t>Переторжка</w:t>
      </w:r>
      <w:r>
        <w:rPr>
          <w:sz w:val="22"/>
          <w:szCs w:val="22"/>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31"/>
        <w:ind w:firstLine="567"/>
        <w:rPr>
          <w:rFonts w:ascii="Times New Roman" w:hAnsi="Times New Roman"/>
          <w:sz w:val="22"/>
          <w:szCs w:val="22"/>
        </w:rPr>
      </w:pPr>
      <w:r>
        <w:rPr>
          <w:b/>
          <w:bCs/>
          <w:sz w:val="22"/>
          <w:szCs w:val="22"/>
        </w:rPr>
        <w:t>Победитель</w:t>
      </w:r>
      <w:r>
        <w:rPr>
          <w:sz w:val="22"/>
          <w:szCs w:val="22"/>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1"/>
        <w:ind w:firstLine="567"/>
        <w:rPr>
          <w:rFonts w:ascii="Times New Roman" w:hAnsi="Times New Roman"/>
          <w:sz w:val="22"/>
          <w:szCs w:val="22"/>
        </w:rPr>
      </w:pPr>
      <w:r>
        <w:rPr>
          <w:b/>
          <w:bCs/>
          <w:sz w:val="22"/>
          <w:szCs w:val="22"/>
        </w:rPr>
        <w:t>Поставщик</w:t>
      </w:r>
      <w:r>
        <w:rPr>
          <w:sz w:val="22"/>
          <w:szCs w:val="22"/>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1"/>
        <w:ind w:firstLine="567"/>
        <w:rPr>
          <w:rFonts w:ascii="Times New Roman" w:hAnsi="Times New Roman"/>
          <w:sz w:val="22"/>
          <w:szCs w:val="22"/>
        </w:rPr>
      </w:pPr>
      <w:r>
        <w:rPr>
          <w:b/>
          <w:bCs/>
          <w:sz w:val="22"/>
          <w:szCs w:val="22"/>
        </w:rPr>
        <w:t>Постквалификация</w:t>
      </w:r>
      <w:r>
        <w:rPr>
          <w:sz w:val="22"/>
          <w:szCs w:val="22"/>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31"/>
        <w:ind w:firstLine="567"/>
        <w:rPr>
          <w:rFonts w:ascii="Times New Roman" w:hAnsi="Times New Roman"/>
          <w:sz w:val="22"/>
          <w:szCs w:val="22"/>
        </w:rPr>
      </w:pPr>
      <w:r>
        <w:rPr>
          <w:b/>
          <w:bCs/>
          <w:sz w:val="22"/>
          <w:szCs w:val="22"/>
        </w:rPr>
        <w:t>Предмет закупки / предмет договора</w:t>
      </w:r>
      <w:r>
        <w:rPr>
          <w:sz w:val="22"/>
          <w:szCs w:val="22"/>
        </w:rPr>
        <w:t xml:space="preserve"> – конкретная продукция, которую предполагается закупить в объеме и на условиях, определенных Заказчиком.</w:t>
      </w:r>
    </w:p>
    <w:p>
      <w:pPr>
        <w:pStyle w:val="Style31"/>
        <w:ind w:firstLine="567"/>
        <w:rPr>
          <w:rFonts w:ascii="Times New Roman" w:hAnsi="Times New Roman"/>
          <w:sz w:val="22"/>
          <w:szCs w:val="22"/>
        </w:rPr>
      </w:pPr>
      <w:r>
        <w:rPr>
          <w:b/>
          <w:bCs/>
          <w:sz w:val="22"/>
          <w:szCs w:val="22"/>
        </w:rPr>
        <w:t>Применение законодательства о национальном режиме</w:t>
      </w:r>
      <w:r>
        <w:rPr>
          <w:sz w:val="22"/>
          <w:szCs w:val="22"/>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1"/>
        <w:ind w:firstLine="567"/>
        <w:rPr>
          <w:rFonts w:ascii="Times New Roman" w:hAnsi="Times New Roman"/>
          <w:sz w:val="22"/>
          <w:szCs w:val="22"/>
        </w:rPr>
      </w:pPr>
      <w:r>
        <w:rPr>
          <w:b/>
          <w:bCs/>
          <w:sz w:val="22"/>
          <w:szCs w:val="22"/>
        </w:rPr>
        <w:t>Программное обеспечение</w:t>
      </w:r>
      <w:r>
        <w:rPr>
          <w:sz w:val="22"/>
          <w:szCs w:val="22"/>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1"/>
        <w:ind w:firstLine="567"/>
        <w:rPr>
          <w:rFonts w:ascii="Times New Roman" w:hAnsi="Times New Roman"/>
          <w:sz w:val="22"/>
          <w:szCs w:val="22"/>
        </w:rPr>
      </w:pPr>
      <w:r>
        <w:rPr>
          <w:b/>
          <w:bCs/>
          <w:sz w:val="22"/>
          <w:szCs w:val="22"/>
        </w:rPr>
        <w:t>Продукция</w:t>
      </w:r>
      <w:r>
        <w:rPr>
          <w:sz w:val="22"/>
          <w:szCs w:val="22"/>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1"/>
        <w:ind w:firstLine="567"/>
        <w:rPr>
          <w:rFonts w:ascii="Times New Roman" w:hAnsi="Times New Roman"/>
          <w:sz w:val="22"/>
          <w:szCs w:val="22"/>
        </w:rPr>
      </w:pPr>
      <w:r>
        <w:rPr>
          <w:b/>
          <w:bCs/>
          <w:sz w:val="22"/>
          <w:szCs w:val="22"/>
        </w:rPr>
        <w:t>Реестр аккредитации</w:t>
      </w:r>
      <w:r>
        <w:rPr>
          <w:sz w:val="22"/>
          <w:szCs w:val="22"/>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1"/>
        <w:ind w:firstLine="567"/>
        <w:rPr>
          <w:rFonts w:ascii="Times New Roman" w:hAnsi="Times New Roman"/>
          <w:sz w:val="22"/>
          <w:szCs w:val="22"/>
        </w:rPr>
      </w:pPr>
      <w:r>
        <w:rPr>
          <w:b/>
          <w:bCs/>
          <w:sz w:val="22"/>
          <w:szCs w:val="22"/>
        </w:rPr>
        <w:t>Субъект малого и среднего предпринимательства</w:t>
      </w:r>
      <w:r>
        <w:rPr>
          <w:sz w:val="22"/>
          <w:szCs w:val="22"/>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sz w:val="22"/>
          <w:szCs w:val="22"/>
        </w:rPr>
        <w:footnoteReference w:id="3"/>
      </w:r>
      <w:r>
        <w:rPr>
          <w:sz w:val="22"/>
          <w:szCs w:val="22"/>
        </w:rPr>
        <w:t>, если иное не установлено в Документации о закупке.</w:t>
      </w:r>
    </w:p>
    <w:p>
      <w:pPr>
        <w:pStyle w:val="Style31"/>
        <w:ind w:firstLine="567"/>
        <w:rPr>
          <w:rFonts w:ascii="Times New Roman" w:hAnsi="Times New Roman"/>
          <w:sz w:val="22"/>
          <w:szCs w:val="22"/>
        </w:rPr>
      </w:pPr>
      <w:r>
        <w:rPr>
          <w:b/>
          <w:bCs/>
          <w:sz w:val="22"/>
          <w:szCs w:val="22"/>
        </w:rPr>
        <w:t>Уполномоченное лицо</w:t>
      </w:r>
      <w:r>
        <w:rPr>
          <w:sz w:val="22"/>
          <w:szCs w:val="22"/>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z w:val="22"/>
          <w:szCs w:val="22"/>
          <w:shd w:fill="FFFFFF" w:val="clear"/>
        </w:rPr>
        <w:t>в том числе выданной в порядке передоверия,</w:t>
      </w:r>
      <w:r>
        <w:rPr>
          <w:sz w:val="22"/>
          <w:szCs w:val="22"/>
        </w:rPr>
        <w:t xml:space="preserve"> от имени организации, полномочия которых подтверждены соответствующими документами.</w:t>
      </w:r>
    </w:p>
    <w:p>
      <w:pPr>
        <w:pStyle w:val="Style31"/>
        <w:ind w:firstLine="567"/>
        <w:rPr>
          <w:rFonts w:ascii="Times New Roman" w:hAnsi="Times New Roman"/>
          <w:sz w:val="22"/>
          <w:szCs w:val="22"/>
        </w:rPr>
      </w:pPr>
      <w:r>
        <w:rPr>
          <w:b/>
          <w:bCs/>
          <w:sz w:val="22"/>
          <w:szCs w:val="22"/>
        </w:rPr>
        <w:t>Участник</w:t>
      </w:r>
      <w:r>
        <w:rPr>
          <w:sz w:val="22"/>
          <w:szCs w:val="22"/>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5"/>
        <w:rPr>
          <w:rFonts w:ascii="Times New Roman" w:hAnsi="Times New Roman"/>
          <w:sz w:val="22"/>
          <w:szCs w:val="22"/>
        </w:rPr>
      </w:pPr>
      <w:bookmarkStart w:id="2" w:name="_Ref125359988"/>
      <w:bookmarkStart w:id="3" w:name="_Toc230928827"/>
      <w:r>
        <w:rPr>
          <w:sz w:val="22"/>
          <w:szCs w:val="22"/>
        </w:rPr>
        <w:t>Основные сведения о закупке</w:t>
      </w:r>
      <w:bookmarkEnd w:id="2"/>
      <w:bookmarkEnd w:id="3"/>
    </w:p>
    <w:p>
      <w:pPr>
        <w:pStyle w:val="Style26"/>
        <w:rPr>
          <w:rFonts w:ascii="Times New Roman" w:hAnsi="Times New Roman"/>
          <w:sz w:val="22"/>
          <w:szCs w:val="22"/>
        </w:rPr>
      </w:pPr>
      <w:bookmarkStart w:id="4" w:name="_Toc230928828"/>
      <w:r>
        <w:rPr>
          <w:sz w:val="22"/>
          <w:szCs w:val="22"/>
        </w:rPr>
        <w:t>Статус настоящего раздела</w:t>
      </w:r>
      <w:bookmarkEnd w:id="4"/>
    </w:p>
    <w:p>
      <w:pPr>
        <w:pStyle w:val="Style27"/>
        <w:rPr>
          <w:rFonts w:ascii="Times New Roman" w:hAnsi="Times New Roman"/>
          <w:sz w:val="22"/>
          <w:szCs w:val="22"/>
        </w:rPr>
      </w:pPr>
      <w:r>
        <w:rPr>
          <w:sz w:val="22"/>
          <w:szCs w:val="22"/>
        </w:rPr>
        <w:t>В настоящем разделе содержатся основные сведения о предмете, способе и иных ключевых условиях проводимой закупки.</w:t>
      </w:r>
    </w:p>
    <w:p>
      <w:pPr>
        <w:pStyle w:val="Style27"/>
        <w:rPr/>
      </w:pPr>
      <w:r>
        <w:rPr>
          <w:sz w:val="22"/>
          <w:szCs w:val="22"/>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4"/>
            <w:sz w:val="22"/>
            <w:szCs w:val="22"/>
          </w:rPr>
          <w:t>Технических требованиях (Приложение № 1)</w:t>
        </w:r>
      </w:hyperlink>
      <w:r>
        <w:rPr>
          <w:rStyle w:val="Style14"/>
          <w:sz w:val="22"/>
          <w:szCs w:val="22"/>
        </w:rPr>
        <w:t>,</w:t>
      </w:r>
      <w:r>
        <w:rPr>
          <w:sz w:val="22"/>
          <w:szCs w:val="22"/>
        </w:rPr>
        <w:t xml:space="preserve"> в </w:t>
      </w:r>
      <w:hyperlink w:anchor="Прил02_ПроектДоговора">
        <w:r>
          <w:rPr>
            <w:rStyle w:val="Style14"/>
            <w:sz w:val="22"/>
            <w:szCs w:val="22"/>
          </w:rPr>
          <w:t>Проекте договора (Приложение № 2)</w:t>
        </w:r>
      </w:hyperlink>
      <w:r>
        <w:rPr>
          <w:sz w:val="22"/>
          <w:szCs w:val="22"/>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7"/>
        <w:rPr>
          <w:rFonts w:ascii="Times New Roman" w:hAnsi="Times New Roman"/>
          <w:sz w:val="22"/>
          <w:szCs w:val="22"/>
        </w:rPr>
      </w:pPr>
      <w:bookmarkStart w:id="5" w:name="_Ref136768031"/>
      <w:r>
        <w:rPr>
          <w:sz w:val="22"/>
          <w:szCs w:val="22"/>
        </w:rPr>
        <w:t>Информация о проводимой закупке, указанная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объеме, определенном частью 9 статьи 4 Закона 223-ФЗ, составляет Извещение о закупке.</w:t>
      </w:r>
      <w:bookmarkEnd w:id="5"/>
    </w:p>
    <w:p>
      <w:pPr>
        <w:pStyle w:val="Style26"/>
        <w:spacing w:before="360" w:after="120"/>
        <w:rPr>
          <w:rFonts w:ascii="Times New Roman" w:hAnsi="Times New Roman"/>
          <w:sz w:val="22"/>
          <w:szCs w:val="22"/>
        </w:rPr>
      </w:pPr>
      <w:bookmarkStart w:id="6" w:name="_Ref125359973"/>
      <w:bookmarkStart w:id="7" w:name="_Ref127270076"/>
      <w:bookmarkStart w:id="8" w:name="_Toc230928829"/>
      <w:r>
        <w:rPr>
          <w:sz w:val="22"/>
          <w:szCs w:val="22"/>
        </w:rPr>
        <w:t>Информация о проводимой закупке</w:t>
      </w:r>
      <w:bookmarkEnd w:id="6"/>
      <w:bookmarkEnd w:id="7"/>
      <w:bookmarkEnd w:id="8"/>
    </w:p>
    <w:tbl>
      <w:tblPr>
        <w:tblStyle w:val="af6"/>
        <w:tblW w:w="975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0"/>
        <w:gridCol w:w="3238"/>
        <w:gridCol w:w="5676"/>
      </w:tblGrid>
      <w:tr>
        <w:trPr>
          <w:cnfStyle w:val="100000000000" w:firstRow="1" w:lastRow="0" w:firstColumn="0" w:lastColumn="0" w:oddVBand="0" w:evenVBand="0" w:oddHBand="0" w:evenHBand="0" w:firstRowFirstColumn="0" w:firstRowLastColumn="0" w:lastRowFirstColumn="0" w:lastRowLastColumn="0"/>
        </w:trPr>
        <w:tc>
          <w:tcPr>
            <w:tcW w:w="840"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3238"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Наименование пункта</w:t>
            </w:r>
          </w:p>
        </w:tc>
        <w:tc>
          <w:tcPr>
            <w:tcW w:w="5676"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Содержание пункта</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9" w:name="_Ref125360980"/>
            <w:bookmarkStart w:id="10" w:name="_Ref125360980"/>
            <w:bookmarkEnd w:id="10"/>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Способ закупки:</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Конкурс в электронной форме.</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1" w:name="_Ref125360996"/>
            <w:bookmarkStart w:id="12" w:name="_Ref125360996"/>
            <w:bookmarkEnd w:id="12"/>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Предмет Договора</w:t>
              <w:br/>
              <w:t>(в том числе номер лота):</w:t>
            </w:r>
          </w:p>
        </w:tc>
        <w:tc>
          <w:tcPr>
            <w:tcW w:w="5676" w:type="dxa"/>
            <w:tcBorders/>
          </w:tcPr>
          <w:p>
            <w:pPr>
              <w:pStyle w:val="Style31"/>
              <w:widowControl/>
              <w:suppressAutoHyphens w:val="true"/>
              <w:spacing w:before="60" w:after="60"/>
              <w:rPr/>
            </w:pPr>
            <w:r>
              <w:rPr>
                <w:rFonts w:eastAsia="Calibri" w:cs=""/>
                <w:kern w:val="0"/>
                <w:sz w:val="22"/>
                <w:szCs w:val="22"/>
                <w:lang w:val="ru-RU" w:eastAsia="en-US" w:bidi="ar-SA"/>
              </w:rPr>
              <w:t xml:space="preserve">Лот №22130002-ТПИР ОБСЛ-2027-ДГК-КТЭЦ3 </w:t>
            </w:r>
            <w:r>
              <w:rPr>
                <w:rFonts w:eastAsia="Calibri" w:cs=""/>
                <w:color w:val="111111"/>
                <w:kern w:val="0"/>
                <w:sz w:val="22"/>
                <w:szCs w:val="22"/>
                <w:lang w:val="ru-RU" w:eastAsia="en-US" w:bidi="ar-SA"/>
              </w:rPr>
              <w:t>«</w:t>
            </w:r>
            <w:hyperlink r:id="rId3">
              <w:r>
                <w:rPr>
                  <w:rStyle w:val="Hyperlink"/>
                  <w:rFonts w:eastAsia="Calibri" w:cs="" w:cstheme="minorBidi" w:eastAsiaTheme="minorHAnsi"/>
                  <w:b w:val="false"/>
                  <w:bCs w:val="false"/>
                  <w:i w:val="false"/>
                  <w:iCs w:val="false"/>
                  <w:color w:val="000000"/>
                  <w:kern w:val="0"/>
                  <w:sz w:val="22"/>
                  <w:szCs w:val="22"/>
                  <w:u w:val="none"/>
                  <w:shd w:fill="auto" w:val="clear"/>
                  <w:lang w:val="ru-RU" w:eastAsia="en-US" w:bidi="ar-SA"/>
                </w:rPr>
                <w:t>ОКПД2 43.99.90.190 Выполнение работ строительно-монтажных по объекту: Техперевооружение комплекса инженерно-технических средств физической защиты СП Комсомольская ТЭЦ-3, водогрейная котельная Дземги в рамках реализации инвестиционного проекта F_505-ХГ-25, г. Комсомольск-на Амуре</w:t>
              </w:r>
            </w:hyperlink>
            <w:r>
              <w:rPr>
                <w:rStyle w:val="Style11"/>
                <w:rFonts w:eastAsia="Calibri" w:cs="" w:cstheme="minorBidi" w:eastAsiaTheme="minorHAnsi"/>
                <w:b w:val="false"/>
                <w:bCs w:val="false"/>
                <w:i w:val="false"/>
                <w:iCs w:val="false"/>
                <w:color w:val="111111"/>
                <w:kern w:val="0"/>
                <w:sz w:val="22"/>
                <w:szCs w:val="22"/>
                <w:u w:val="none"/>
                <w:shd w:fill="auto" w:val="clear"/>
                <w:lang w:val="ru-RU" w:eastAsia="en-US" w:bidi="ar-SA"/>
              </w:rPr>
              <w:t>»</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3" w:name="_Ref135729276"/>
            <w:bookmarkStart w:id="14" w:name="_Ref135729276"/>
            <w:bookmarkEnd w:id="14"/>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Описание</w:t>
              <w:br/>
              <w:t>предмета закупки:</w:t>
            </w:r>
          </w:p>
        </w:tc>
        <w:tc>
          <w:tcPr>
            <w:tcW w:w="5676" w:type="dxa"/>
            <w:tcBorders/>
          </w:tcPr>
          <w:p>
            <w:pPr>
              <w:pStyle w:val="Style31"/>
              <w:widowControl/>
              <w:suppressAutoHyphens w:val="true"/>
              <w:spacing w:before="60" w:after="60"/>
              <w:rPr/>
            </w:pPr>
            <w:r>
              <w:rPr>
                <w:rFonts w:eastAsia="Calibri" w:cs=""/>
                <w:kern w:val="0"/>
                <w:sz w:val="22"/>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4"/>
                  <w:rFonts w:eastAsia="Calibri" w:cs=""/>
                  <w:kern w:val="0"/>
                  <w:sz w:val="22"/>
                  <w:szCs w:val="22"/>
                  <w:lang w:val="ru-RU" w:eastAsia="en-US" w:bidi="ar-SA"/>
                </w:rPr>
                <w:t>Технических требованиях (Приложении № 1)</w:t>
              </w:r>
            </w:hyperlink>
            <w:r>
              <w:rPr>
                <w:rFonts w:eastAsia="Calibri" w:cs=""/>
                <w:kern w:val="0"/>
                <w:sz w:val="22"/>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5" w:name="_Ref125367124"/>
            <w:bookmarkStart w:id="16" w:name="_Ref125367124"/>
            <w:bookmarkEnd w:id="16"/>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Многолотовая закупка:</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Нет.</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7" w:name="_Ref125360764"/>
            <w:bookmarkStart w:id="18" w:name="_Ref125360764"/>
            <w:bookmarkEnd w:id="18"/>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Наименование и адрес ЭП, на которой проводится закупка:</w:t>
            </w:r>
          </w:p>
        </w:tc>
        <w:tc>
          <w:tcPr>
            <w:tcW w:w="5676" w:type="dxa"/>
            <w:tcBorders/>
          </w:tcPr>
          <w:p>
            <w:pPr>
              <w:pStyle w:val="Style31"/>
              <w:widowControl/>
              <w:suppressAutoHyphens w:val="true"/>
              <w:spacing w:before="60" w:after="60"/>
              <w:rPr/>
            </w:pPr>
            <w:r>
              <w:rPr>
                <w:rFonts w:eastAsia="Calibri" w:cs=""/>
                <w:kern w:val="0"/>
                <w:sz w:val="22"/>
                <w:szCs w:val="22"/>
                <w:lang w:val="ru-RU" w:eastAsia="en-US" w:bidi="ar-SA"/>
              </w:rPr>
              <w:t xml:space="preserve">Электронная площадка: Росэлторг </w:t>
            </w:r>
            <w:hyperlink r:id="rId4" w:tgtFrame="https://rushydro.roseltorg.ru/">
              <w:r>
                <w:rPr>
                  <w:rFonts w:eastAsia="Calibri" w:cs=""/>
                  <w:kern w:val="0"/>
                  <w:sz w:val="22"/>
                  <w:szCs w:val="22"/>
                  <w:lang w:val="ru-RU" w:eastAsia="en-US" w:bidi="ar-SA"/>
                </w:rPr>
                <w:t>https://rushydro.roseltorg.ru/</w:t>
              </w:r>
            </w:hyperlink>
            <w:r>
              <w:rPr>
                <w:rFonts w:eastAsia="Calibri" w:cs=""/>
                <w:kern w:val="0"/>
                <w:sz w:val="22"/>
                <w:szCs w:val="22"/>
                <w:lang w:val="ru-RU" w:eastAsia="en-US" w:bidi="ar-SA"/>
              </w:rPr>
              <w:t xml:space="preserve">  </w:t>
            </w:r>
          </w:p>
          <w:p>
            <w:pPr>
              <w:pStyle w:val="Style31"/>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p>
            <w:pPr>
              <w:pStyle w:val="Style31"/>
              <w:widowControl/>
              <w:suppressAutoHyphens w:val="true"/>
              <w:spacing w:before="60" w:after="60"/>
              <w:rPr/>
            </w:pPr>
            <w:r>
              <w:rPr>
                <w:rFonts w:eastAsia="Calibri" w:cs=""/>
                <w:kern w:val="0"/>
                <w:sz w:val="22"/>
                <w:szCs w:val="22"/>
                <w:lang w:val="ru-RU" w:eastAsia="en-US" w:bidi="ar-SA"/>
              </w:rPr>
              <w:t xml:space="preserve">Регламент ЭП, в соответствии с которым проводится закупка, размещен по адресу: </w:t>
            </w:r>
            <w:hyperlink r:id="rId5" w:tgtFrame="https://www.roseltorg.ru/knowledge_db/docs?55">
              <w:r>
                <w:rPr>
                  <w:rStyle w:val="Hyperlink"/>
                  <w:rFonts w:eastAsia="Times New Roman" w:cs="Times New Roman"/>
                  <w:kern w:val="0"/>
                  <w:sz w:val="22"/>
                  <w:szCs w:val="22"/>
                  <w:lang w:val="ru-RU" w:eastAsia="en-US" w:bidi="ar-SA"/>
                </w:rPr>
                <w:t>https://www.roseltorg.ru/knowledge_db/docs?55</w:t>
              </w:r>
            </w:hyperlink>
            <w:r>
              <w:rPr>
                <w:rFonts w:eastAsia="Times New Roman" w:cs="Times New Roman"/>
                <w:kern w:val="0"/>
                <w:sz w:val="22"/>
                <w:szCs w:val="22"/>
                <w:lang w:val="ru-RU" w:eastAsia="en-US" w:bidi="ar-SA"/>
              </w:rPr>
              <w:t xml:space="preserve"> </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9" w:name="_Ref125360970"/>
            <w:bookmarkStart w:id="20" w:name="_Ref125360970"/>
            <w:bookmarkEnd w:id="20"/>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Участники:</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Участвовать в закупке могут любые лица, заинтересованные в предмете закупки.</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1" w:name="_Ref125360988"/>
            <w:bookmarkStart w:id="22" w:name="_Ref125360988"/>
            <w:bookmarkEnd w:id="22"/>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Заказчик:</w:t>
            </w:r>
          </w:p>
        </w:tc>
        <w:tc>
          <w:tcPr>
            <w:tcW w:w="5676" w:type="dxa"/>
            <w:tcBorders/>
          </w:tcPr>
          <w:p>
            <w:pPr>
              <w:pStyle w:val="Normal"/>
              <w:widowControl w:val="false"/>
              <w:suppressAutoHyphens w:val="tru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Акционерное общество «Дальневосточная генерирующая компания» (далее - АО «ДГК»)</w:t>
            </w:r>
          </w:p>
          <w:p>
            <w:pPr>
              <w:pStyle w:val="Normal"/>
              <w:widowControl w:val="false"/>
              <w:suppressAutoHyphens w:val="tru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Место нахождения: 680000, г. Хабаровск, ул. Фрунзе, д. 49</w:t>
            </w:r>
          </w:p>
          <w:p>
            <w:pPr>
              <w:pStyle w:val="Normal"/>
              <w:widowControl w:val="false"/>
              <w:suppressAutoHyphens w:val="tru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Почтовый адрес: 680000, г. Хабаровск, ул. Фрунзе, д. 49</w:t>
            </w:r>
          </w:p>
          <w:p>
            <w:pPr>
              <w:pStyle w:val="Normal"/>
              <w:widowControl w:val="false"/>
              <w:suppressAutoHyphens w:val="true"/>
              <w:spacing w:lineRule="auto" w:line="240" w:before="0" w:afterAutospacing="0" w:after="0"/>
              <w:jc w:val="left"/>
              <w:rPr/>
            </w:pPr>
            <w:r>
              <w:rPr>
                <w:rFonts w:eastAsia="Times New Roman" w:cs="Times New Roman"/>
                <w:kern w:val="0"/>
                <w:sz w:val="22"/>
                <w:szCs w:val="22"/>
                <w:lang w:val="ru-RU" w:eastAsia="en-US" w:bidi="ar-SA"/>
              </w:rPr>
              <w:t xml:space="preserve">Адрес электронной почты: </w:t>
            </w:r>
            <w:hyperlink r:id="rId6" w:tgtFrame="mailto:dgk@dgk.ru">
              <w:r>
                <w:rPr>
                  <w:rStyle w:val="Hyperlink"/>
                  <w:rFonts w:eastAsia="Times New Roman" w:cs="Times New Roman"/>
                  <w:kern w:val="0"/>
                  <w:sz w:val="22"/>
                  <w:szCs w:val="22"/>
                  <w:lang w:val="en-US" w:eastAsia="en-US" w:bidi="ar-SA"/>
                </w:rPr>
                <w:t>dgk</w:t>
              </w:r>
              <w:r>
                <w:rPr>
                  <w:rStyle w:val="Hyperlink"/>
                  <w:rFonts w:eastAsia="Times New Roman" w:cs="Times New Roman"/>
                  <w:kern w:val="0"/>
                  <w:sz w:val="22"/>
                  <w:szCs w:val="22"/>
                  <w:lang w:val="ru-RU" w:eastAsia="en-US" w:bidi="ar-SA"/>
                </w:rPr>
                <w:t>@</w:t>
              </w:r>
              <w:r>
                <w:rPr>
                  <w:rStyle w:val="Hyperlink"/>
                  <w:rFonts w:eastAsia="Times New Roman" w:cs="Times New Roman"/>
                  <w:kern w:val="0"/>
                  <w:sz w:val="22"/>
                  <w:szCs w:val="22"/>
                  <w:lang w:val="en-US" w:eastAsia="en-US" w:bidi="ar-SA"/>
                </w:rPr>
                <w:t>dgk</w:t>
              </w:r>
              <w:r>
                <w:rPr>
                  <w:rStyle w:val="Hyperlink"/>
                  <w:rFonts w:eastAsia="Times New Roman" w:cs="Times New Roman"/>
                  <w:kern w:val="0"/>
                  <w:sz w:val="22"/>
                  <w:szCs w:val="22"/>
                  <w:lang w:val="ru-RU" w:eastAsia="en-US" w:bidi="ar-SA"/>
                </w:rPr>
                <w:t>.</w:t>
              </w:r>
              <w:r>
                <w:rPr>
                  <w:rStyle w:val="Hyperlink"/>
                  <w:rFonts w:eastAsia="Times New Roman" w:cs="Times New Roman"/>
                  <w:kern w:val="0"/>
                  <w:sz w:val="22"/>
                  <w:szCs w:val="22"/>
                  <w:lang w:val="en-US" w:eastAsia="en-US" w:bidi="ar-SA"/>
                </w:rPr>
                <w:t>ru</w:t>
              </w:r>
            </w:hyperlink>
            <w:r>
              <w:rPr>
                <w:rFonts w:eastAsia="Times New Roman" w:cs="Times New Roman"/>
                <w:kern w:val="0"/>
                <w:sz w:val="22"/>
                <w:szCs w:val="22"/>
                <w:lang w:val="ru-RU" w:eastAsia="en-US" w:bidi="ar-SA"/>
              </w:rPr>
              <w:t xml:space="preserve"> </w:t>
            </w:r>
          </w:p>
          <w:p>
            <w:pPr>
              <w:pStyle w:val="Normal"/>
              <w:widowControl w:val="false"/>
              <w:suppressAutoHyphens w:val="tru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Контактный телефон:</w:t>
            </w:r>
            <w:r>
              <w:rPr>
                <w:rFonts w:eastAsia="Times New Roman" w:cs="Times New Roman"/>
                <w:b/>
                <w:bCs/>
                <w:kern w:val="0"/>
                <w:sz w:val="22"/>
                <w:szCs w:val="22"/>
                <w:lang w:val="ru-RU" w:eastAsia="en-US" w:bidi="ar-SA"/>
              </w:rPr>
              <w:t xml:space="preserve"> +7(4212) 26-45-67</w:t>
            </w:r>
          </w:p>
          <w:p>
            <w:pPr>
              <w:pStyle w:val="Normal"/>
              <w:widowControl w:val="false"/>
              <w:suppressAutoHyphens w:val="true"/>
              <w:spacing w:lineRule="auto" w:line="240" w:before="0" w:afterAutospacing="0" w:after="0"/>
              <w:jc w:val="left"/>
              <w:rPr/>
            </w:pPr>
            <w:r>
              <w:rPr>
                <w:rStyle w:val="Style11"/>
                <w:rFonts w:eastAsia="Times New Roman" w:cs="Times New Roman"/>
                <w:b/>
                <w:bCs/>
                <w:i w:val="false"/>
                <w:iCs w:val="false"/>
                <w:kern w:val="0"/>
                <w:sz w:val="22"/>
                <w:szCs w:val="22"/>
                <w:shd w:fill="auto" w:val="clear"/>
                <w:lang w:val="ru-RU" w:eastAsia="en-US" w:bidi="ar-SA"/>
              </w:rPr>
              <w:t>По вопросу заключения Договора обра</w:t>
            </w:r>
            <w:r>
              <w:rPr>
                <w:rStyle w:val="Style11"/>
                <w:rFonts w:eastAsia="Times New Roman" w:cs="Times New Roman"/>
                <w:b/>
                <w:bCs/>
                <w:i w:val="false"/>
                <w:iCs w:val="false"/>
                <w:kern w:val="0"/>
                <w:sz w:val="22"/>
                <w:szCs w:val="22"/>
                <w:highlight w:val="white"/>
                <w:lang w:val="ru-RU" w:eastAsia="en-US" w:bidi="ar-SA"/>
              </w:rPr>
              <w:t>щаться к</w:t>
            </w:r>
          </w:p>
          <w:p>
            <w:pPr>
              <w:pStyle w:val="Normal"/>
              <w:spacing w:lineRule="auto" w:line="240" w:before="60" w:after="60"/>
              <w:ind w:hanging="0" w:left="142" w:right="0"/>
              <w:jc w:val="left"/>
              <w:rPr>
                <w:i/>
                <w:i/>
                <w:iCs/>
                <w:sz w:val="22"/>
                <w:szCs w:val="22"/>
              </w:rPr>
            </w:pPr>
            <w:r>
              <w:rPr>
                <w:i/>
                <w:iCs/>
                <w:sz w:val="22"/>
                <w:szCs w:val="22"/>
                <w:lang w:eastAsia="en-US"/>
              </w:rPr>
              <w:t xml:space="preserve">Ведущему экономисту </w:t>
            </w:r>
            <w:r>
              <w:rPr>
                <w:i/>
                <w:iCs/>
                <w:sz w:val="22"/>
                <w:szCs w:val="22"/>
              </w:rPr>
              <w:t>группы капитального строительства и реконструкции СП «Комсомольская ТЭЦ-3» - Кузмищевой Ирине Владимировне (4217) 23-34-64</w:t>
            </w:r>
            <w:r>
              <w:rPr>
                <w:rStyle w:val="Style11"/>
                <w:rFonts w:eastAsia="Times New Roman" w:cs="Times New Roman"/>
                <w:b/>
                <w:bCs/>
                <w:i/>
                <w:iCs/>
                <w:kern w:val="0"/>
                <w:sz w:val="22"/>
                <w:szCs w:val="22"/>
                <w:highlight w:val="white"/>
                <w:lang w:val="ru-RU" w:eastAsia="en-US" w:bidi="ar-SA"/>
              </w:rPr>
              <w:t>, kuzmischeva-iv@dgk.ru</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3" w:name="_Ref125360954"/>
            <w:bookmarkStart w:id="24" w:name="_Ref125360954"/>
            <w:bookmarkEnd w:id="24"/>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Организатор:</w:t>
            </w:r>
          </w:p>
        </w:tc>
        <w:tc>
          <w:tcPr>
            <w:tcW w:w="5676" w:type="dxa"/>
            <w:tcBorders/>
          </w:tcPr>
          <w:p>
            <w:pPr>
              <w:pStyle w:val="Normal"/>
              <w:widowControl w:val="false"/>
              <w:suppressAutoHyphens w:val="tru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Акционерное общество «Дальневосточная генерирующая компания» (далее - АО «ДГК»)</w:t>
            </w:r>
          </w:p>
          <w:p>
            <w:pPr>
              <w:pStyle w:val="Normal"/>
              <w:widowControl w:val="false"/>
              <w:suppressAutoHyphens w:val="tru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Место нахождения: 680000, г. Хабаровск, ул. Фрунзе, д. 49</w:t>
            </w:r>
          </w:p>
          <w:p>
            <w:pPr>
              <w:pStyle w:val="Normal"/>
              <w:widowControl w:val="false"/>
              <w:suppressAutoHyphens w:val="tru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Почтовый адрес: 680000, г. Хабаровск, ул. Фрунзе, д. 49</w:t>
            </w:r>
          </w:p>
          <w:p>
            <w:pPr>
              <w:pStyle w:val="Normal"/>
              <w:widowControl w:val="false"/>
              <w:suppressAutoHyphens w:val="true"/>
              <w:spacing w:lineRule="auto" w:line="240" w:before="0" w:afterAutospacing="0" w:after="0"/>
              <w:jc w:val="left"/>
              <w:rPr/>
            </w:pPr>
            <w:r>
              <w:rPr>
                <w:rFonts w:eastAsia="Times New Roman" w:cs="Times New Roman"/>
                <w:kern w:val="0"/>
                <w:sz w:val="22"/>
                <w:szCs w:val="22"/>
                <w:lang w:val="ru-RU" w:eastAsia="en-US" w:bidi="ar-SA"/>
              </w:rPr>
              <w:t xml:space="preserve">Адрес электронной почты: </w:t>
            </w:r>
            <w:r>
              <w:rPr>
                <w:rStyle w:val="Hyperlink"/>
                <w:rFonts w:eastAsia="Calibri" w:cs="Arial"/>
                <w:kern w:val="0"/>
                <w:sz w:val="22"/>
                <w:szCs w:val="22"/>
                <w:lang w:val="ru-RU" w:eastAsia="en-US" w:bidi="ar-SA"/>
              </w:rPr>
              <w:t>khrapataya-ys@dgk.ru</w:t>
            </w:r>
          </w:p>
          <w:p>
            <w:pPr>
              <w:pStyle w:val="Normal"/>
              <w:widowControl w:val="false"/>
              <w:suppressAutoHyphens w:val="true"/>
              <w:bidi w:val="0"/>
              <w:spacing w:lineRule="auto" w:line="240" w:before="0" w:afterAutospacing="0" w:after="0"/>
              <w:jc w:val="left"/>
              <w:rPr/>
            </w:pPr>
            <w:r>
              <w:rPr>
                <w:rStyle w:val="Style11"/>
                <w:rFonts w:eastAsia="Times New Roman" w:cs="Times New Roman"/>
                <w:i w:val="false"/>
                <w:iCs w:val="false"/>
                <w:kern w:val="0"/>
                <w:sz w:val="22"/>
                <w:szCs w:val="22"/>
                <w:shd w:fill="auto" w:val="clear"/>
                <w:lang w:val="ru-RU" w:eastAsia="en-US" w:bidi="ar-SA"/>
              </w:rPr>
              <w:t>Контактный телефон: +7(4212) 26-45-67</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5" w:name="_Ref125361238"/>
            <w:bookmarkStart w:id="26" w:name="_Ref125361238"/>
            <w:bookmarkEnd w:id="26"/>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Представитель Организатора:</w:t>
            </w:r>
          </w:p>
        </w:tc>
        <w:tc>
          <w:tcPr>
            <w:tcW w:w="5676" w:type="dxa"/>
            <w:tcBorders/>
          </w:tcPr>
          <w:p>
            <w:pPr>
              <w:pStyle w:val="Tableheader"/>
              <w:suppressAutoHyphens w:val="true"/>
              <w:spacing w:beforeAutospacing="0" w:before="0" w:afterAutospacing="0" w:after="0"/>
              <w:rPr/>
            </w:pPr>
            <w:r>
              <w:rPr>
                <w:rStyle w:val="Style11"/>
                <w:rFonts w:eastAsia="Times New Roman" w:cs="Times New Roman"/>
                <w:b w:val="false"/>
                <w:bCs w:val="false"/>
                <w:i w:val="false"/>
                <w:iCs w:val="false"/>
                <w:kern w:val="0"/>
                <w:sz w:val="22"/>
                <w:szCs w:val="22"/>
                <w:shd w:fill="auto" w:val="clear"/>
                <w:lang w:val="ru-RU" w:eastAsia="en-US" w:bidi="ar-SA"/>
                <w14:ligatures w14:val="none"/>
              </w:rPr>
              <w:t>По вопросам организации и проведения закупочной процедуры: главный специалист отдела проведения закупок работ и услуг АО «ДГК» Храпатая Юлия Сергеевна, контактный телефон (4212) 26-45-67, адрес электронной почты:</w:t>
            </w:r>
            <w:r>
              <w:rPr>
                <w:rStyle w:val="Hyperlink"/>
                <w:rFonts w:eastAsia="Times New Roman" w:cs="Times New Roman"/>
                <w:b w:val="false"/>
                <w:bCs w:val="false"/>
                <w:i w:val="false"/>
                <w:iCs w:val="false"/>
                <w:kern w:val="0"/>
                <w:sz w:val="22"/>
                <w:szCs w:val="22"/>
                <w:shd w:fill="auto" w:val="clear"/>
                <w:lang w:val="ru-RU" w:eastAsia="en-US" w:bidi="ar-SA"/>
                <w14:ligatures w14:val="none"/>
              </w:rPr>
              <w:t xml:space="preserve"> </w:t>
            </w:r>
            <w:r>
              <w:rPr>
                <w:rStyle w:val="Hyperlink"/>
                <w:b w:val="false"/>
                <w:bCs w:val="false"/>
                <w:i w:val="false"/>
                <w:iCs w:val="false"/>
                <w:sz w:val="22"/>
                <w:szCs w:val="22"/>
              </w:rPr>
              <w:t>khrapataya-ys@dgk.ru</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7" w:name="_Ref125362694"/>
            <w:bookmarkStart w:id="28" w:name="_Ref125362694"/>
            <w:bookmarkEnd w:id="28"/>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9" w:name="_Ref125360963"/>
            <w:bookmarkStart w:id="30" w:name="_Ref125360963"/>
            <w:bookmarkEnd w:id="30"/>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Дата размещения Извещения о проведении закупки:</w:t>
            </w:r>
          </w:p>
        </w:tc>
        <w:tc>
          <w:tcPr>
            <w:tcW w:w="5676" w:type="dxa"/>
            <w:tcBorders/>
          </w:tcPr>
          <w:p>
            <w:pPr>
              <w:pStyle w:val="Style31"/>
              <w:widowControl/>
              <w:suppressAutoHyphens w:val="true"/>
              <w:spacing w:before="60" w:after="60"/>
              <w:rPr/>
            </w:pPr>
            <w:r>
              <w:rPr>
                <w:rFonts w:eastAsia="Calibri" w:cs=""/>
                <w:kern w:val="0"/>
                <w:sz w:val="22"/>
                <w:szCs w:val="22"/>
                <w:lang w:val="ru-RU" w:eastAsia="en-US" w:bidi="ar-SA"/>
              </w:rPr>
              <w:t>«</w:t>
            </w:r>
            <w:r>
              <w:rPr>
                <w:rFonts w:eastAsia="Calibri" w:cs=""/>
                <w:kern w:val="0"/>
                <w:sz w:val="22"/>
                <w:szCs w:val="22"/>
                <w:lang w:val="ru-RU" w:eastAsia="en-US" w:bidi="ar-SA"/>
              </w:rPr>
              <w:t>19</w:t>
            </w:r>
            <w:r>
              <w:rPr>
                <w:rFonts w:eastAsia="Calibri" w:cs=""/>
                <w:kern w:val="0"/>
                <w:sz w:val="22"/>
                <w:szCs w:val="22"/>
                <w:lang w:val="ru-RU" w:eastAsia="en-US" w:bidi="ar-SA"/>
              </w:rPr>
              <w:t>» октября 2026 г.</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1" w:name="_Ref125362837"/>
            <w:bookmarkStart w:id="32" w:name="_Ref125362837"/>
            <w:bookmarkEnd w:id="32"/>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Начальная (максимальная) цена договора (цена лота):</w:t>
            </w:r>
          </w:p>
        </w:tc>
        <w:tc>
          <w:tcPr>
            <w:tcW w:w="5676" w:type="dxa"/>
            <w:tcBorders/>
          </w:tcPr>
          <w:p>
            <w:pPr>
              <w:pStyle w:val="Style31"/>
              <w:widowControl/>
              <w:suppressAutoHyphens w:val="true"/>
              <w:spacing w:before="60" w:after="60"/>
              <w:rPr/>
            </w:pPr>
            <w:r>
              <w:rPr>
                <w:rFonts w:eastAsia="Calibri" w:cs=""/>
                <w:kern w:val="0"/>
                <w:sz w:val="22"/>
                <w:szCs w:val="22"/>
                <w:lang w:val="ru-RU" w:eastAsia="en-US" w:bidi="ar-SA"/>
              </w:rPr>
              <w:t>НМЦ составляет 25 023 498,81 руб., без учета НДС.</w:t>
            </w:r>
          </w:p>
          <w:p>
            <w:pPr>
              <w:pStyle w:val="Style31"/>
              <w:widowControl/>
              <w:suppressAutoHyphens w:val="true"/>
              <w:spacing w:before="60" w:after="60"/>
              <w:rPr/>
            </w:pPr>
            <w:r>
              <w:rPr>
                <w:rFonts w:eastAsia="Calibri" w:cs=""/>
                <w:kern w:val="0"/>
                <w:sz w:val="22"/>
                <w:szCs w:val="22"/>
                <w:lang w:val="ru-RU" w:eastAsia="en-US" w:bidi="ar-SA"/>
              </w:rPr>
              <w:t xml:space="preserve">Обоснование НМЦ представлено в </w:t>
            </w:r>
            <w:hyperlink w:anchor="Прил09_ОбоснованиеНМЦ">
              <w:r>
                <w:rPr>
                  <w:rStyle w:val="Style14"/>
                  <w:rFonts w:eastAsia="Calibri" w:cs=""/>
                  <w:kern w:val="0"/>
                  <w:sz w:val="22"/>
                  <w:szCs w:val="22"/>
                  <w:lang w:val="ru-RU" w:eastAsia="en-US" w:bidi="ar-SA"/>
                </w:rPr>
                <w:t>Приложении № 9</w:t>
              </w:r>
            </w:hyperlink>
            <w:r>
              <w:rPr>
                <w:rFonts w:eastAsia="Calibri" w:cs=""/>
                <w:kern w:val="0"/>
                <w:sz w:val="22"/>
                <w:szCs w:val="22"/>
                <w:lang w:val="ru-RU" w:eastAsia="en-US" w:bidi="ar-SA"/>
              </w:rPr>
              <w:t>.</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3" w:name="_Ref125363076"/>
            <w:bookmarkStart w:id="34" w:name="_Ref125363076"/>
            <w:bookmarkEnd w:id="34"/>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Обеспечение заявки на участие в закупке:</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Требуется.</w:t>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Размер обеспечения заявок: 500 234,93 (пятьсот тысяч двести тридцать четыре) рубля 93 копейки, НДС не облагается.</w:t>
            </w:r>
          </w:p>
          <w:p>
            <w:pPr>
              <w:pStyle w:val="Style31"/>
              <w:widowControl/>
              <w:suppressAutoHyphens w:val="true"/>
              <w:spacing w:before="60" w:after="60"/>
              <w:rPr/>
            </w:pPr>
            <w:r>
              <w:rPr>
                <w:rFonts w:eastAsia="Calibri" w:cs=""/>
                <w:kern w:val="0"/>
                <w:sz w:val="22"/>
                <w:szCs w:val="22"/>
                <w:lang w:val="ru-RU" w:eastAsia="en-US" w:bidi="ar-SA"/>
              </w:rPr>
              <w:t>Допустимые формы обеспечения заявок:</w:t>
            </w:r>
          </w:p>
          <w:p>
            <w:pPr>
              <w:pStyle w:val="Style31"/>
              <w:widowControl/>
              <w:numPr>
                <w:ilvl w:val="0"/>
                <w:numId w:val="2"/>
              </w:numPr>
              <w:suppressAutoHyphens w:val="true"/>
              <w:spacing w:before="120" w:after="0"/>
              <w:ind w:hanging="284" w:left="284"/>
              <w:rPr>
                <w:rFonts w:ascii="Times New Roman" w:hAnsi="Times New Roman"/>
                <w:sz w:val="22"/>
                <w:szCs w:val="22"/>
              </w:rPr>
            </w:pPr>
            <w:r>
              <w:rPr>
                <w:rFonts w:eastAsia="Calibri" w:cs=""/>
                <w:kern w:val="0"/>
                <w:sz w:val="22"/>
                <w:szCs w:val="22"/>
                <w:lang w:val="ru-RU" w:eastAsia="en-US" w:bidi="ar-SA"/>
              </w:rPr>
              <w:t>внесение денежных средств на индивидуальные счет, открытый Участнику Оператором ЭП в соответствии с Регламентом ЭП; с целью своевременного получения Организатором требуемого обеспечения, 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 пункте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_Ref125360779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1.2.18</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p>
            <w:pPr>
              <w:pStyle w:val="Style31"/>
              <w:widowControl/>
              <w:numPr>
                <w:ilvl w:val="0"/>
                <w:numId w:val="2"/>
              </w:numPr>
              <w:suppressAutoHyphens w:val="true"/>
              <w:spacing w:before="120" w:after="0"/>
              <w:ind w:hanging="284" w:left="284"/>
              <w:rPr>
                <w:rFonts w:ascii="Times New Roman" w:hAnsi="Times New Roman"/>
                <w:sz w:val="22"/>
                <w:szCs w:val="22"/>
              </w:rPr>
            </w:pPr>
            <w:r>
              <w:rPr>
                <w:rFonts w:eastAsia="Calibri" w:cs=""/>
                <w:kern w:val="0"/>
                <w:sz w:val="22"/>
                <w:szCs w:val="22"/>
                <w:lang w:val="ru-RU" w:eastAsia="en-US" w:bidi="ar-SA"/>
              </w:rP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_Ref130455226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4.17</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p>
            <w:pPr>
              <w:pStyle w:val="Style31"/>
              <w:widowControl/>
              <w:suppressAutoHyphens w:val="true"/>
              <w:spacing w:before="60" w:after="60"/>
              <w:rPr/>
            </w:pPr>
            <w:r>
              <w:rPr>
                <w:rStyle w:val="Style11"/>
                <w:rFonts w:eastAsia="Calibri" w:cs=""/>
                <w:i w:val="false"/>
                <w:iCs w:val="false"/>
                <w:kern w:val="0"/>
                <w:sz w:val="22"/>
                <w:szCs w:val="22"/>
                <w:shd w:fill="auto" w:val="clear"/>
                <w:lang w:val="ru-RU" w:eastAsia="en-US" w:bidi="ar-SA"/>
              </w:rPr>
              <w:t>Выбор формы (способа) обеспечения заявки из числа указанных осуществляется Участником самостоятельно.</w:t>
            </w:r>
          </w:p>
          <w:p>
            <w:pPr>
              <w:pStyle w:val="Style31"/>
              <w:widowControl/>
              <w:suppressAutoHyphens w:val="true"/>
              <w:spacing w:before="60" w:after="60"/>
              <w:rPr/>
            </w:pPr>
            <w:r>
              <w:rPr>
                <w:rStyle w:val="Style11"/>
                <w:rFonts w:eastAsia="Calibri" w:cs=""/>
                <w:i w:val="false"/>
                <w:iCs w:val="false"/>
                <w:kern w:val="0"/>
                <w:sz w:val="22"/>
                <w:szCs w:val="22"/>
                <w:shd w:fill="auto" w:val="clear"/>
                <w:lang w:val="ru-RU" w:eastAsia="en-US" w:bidi="ar-SA"/>
              </w:rPr>
              <w:t>Банковские реквизиты Заказчика (для перечисления Банком-гарантом суммы обеспечения заявок в случае нарушения Участником своих обязательств, связанных с участием в закупке):</w:t>
            </w:r>
          </w:p>
          <w:p>
            <w:pPr>
              <w:pStyle w:val="Style31"/>
              <w:widowControl/>
              <w:suppressAutoHyphens w:val="true"/>
              <w:spacing w:before="60" w:after="60"/>
              <w:rPr>
                <w:rStyle w:val="Style11"/>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p>
            <w:pPr>
              <w:pStyle w:val="Style31"/>
              <w:keepNext w:val="true"/>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Наименование получателя:</w:t>
            </w:r>
          </w:p>
          <w:p>
            <w:pPr>
              <w:pStyle w:val="Normal"/>
              <w:widowControl/>
              <w:suppressAutoHyphens w:val="true"/>
              <w:spacing w:before="60" w:after="60"/>
              <w:rPr>
                <w:rFonts w:ascii="Times New Roman;serif" w:hAnsi="Times New Roman;serif"/>
                <w:sz w:val="22"/>
                <w:szCs w:val="22"/>
              </w:rPr>
            </w:pPr>
            <w:r>
              <w:rPr>
                <w:rFonts w:eastAsia="Calibri" w:cs="" w:ascii="Times New Roman;serif" w:hAnsi="Times New Roman;serif"/>
                <w:kern w:val="0"/>
                <w:sz w:val="22"/>
                <w:szCs w:val="22"/>
                <w:lang w:val="ru-RU" w:eastAsia="en-US" w:bidi="ar-SA"/>
              </w:rPr>
              <w:t>Акционерное общество «Дальневосточная генерирующая компания»</w:t>
            </w:r>
          </w:p>
          <w:p>
            <w:pPr>
              <w:pStyle w:val="Normal"/>
              <w:ind w:hanging="0" w:left="0" w:right="0"/>
              <w:rPr>
                <w:rFonts w:ascii="Times New Roman;serif" w:hAnsi="Times New Roman;serif"/>
                <w:sz w:val="22"/>
                <w:szCs w:val="22"/>
              </w:rPr>
            </w:pPr>
            <w:r>
              <w:rPr>
                <w:rFonts w:ascii="Times New Roman;serif" w:hAnsi="Times New Roman;serif"/>
                <w:sz w:val="22"/>
                <w:szCs w:val="22"/>
              </w:rPr>
              <w:t>(АО «ДГК»)</w:t>
            </w:r>
          </w:p>
          <w:p>
            <w:pPr>
              <w:pStyle w:val="Normal"/>
              <w:ind w:hanging="0" w:left="0" w:right="0"/>
              <w:rPr>
                <w:rFonts w:ascii="Times New Roman;serif" w:hAnsi="Times New Roman;serif"/>
                <w:sz w:val="22"/>
                <w:szCs w:val="22"/>
              </w:rPr>
            </w:pPr>
            <w:r>
              <w:rPr>
                <w:rFonts w:ascii="Times New Roman;serif" w:hAnsi="Times New Roman;serif"/>
                <w:sz w:val="22"/>
                <w:szCs w:val="22"/>
              </w:rPr>
              <w:t>ИНН 1434031363 КПП 997650001</w:t>
            </w:r>
          </w:p>
          <w:p>
            <w:pPr>
              <w:pStyle w:val="Normal"/>
              <w:ind w:hanging="0" w:left="0" w:right="0"/>
              <w:rPr>
                <w:rFonts w:ascii="Times New Roman;serif" w:hAnsi="Times New Roman;serif"/>
                <w:sz w:val="22"/>
                <w:szCs w:val="22"/>
              </w:rPr>
            </w:pPr>
            <w:r>
              <w:rPr>
                <w:rFonts w:ascii="Times New Roman;serif" w:hAnsi="Times New Roman;serif"/>
                <w:sz w:val="22"/>
                <w:szCs w:val="22"/>
              </w:rPr>
              <w:t>Р/с 40702810270000008818 в Дальневосточном Банке ПАО «Сбербанк России» г. Хабаровск</w:t>
            </w:r>
          </w:p>
          <w:p>
            <w:pPr>
              <w:pStyle w:val="Normal"/>
              <w:ind w:hanging="0" w:left="0" w:right="0"/>
              <w:rPr>
                <w:rFonts w:ascii="Times New Roman;serif" w:hAnsi="Times New Roman;serif"/>
                <w:sz w:val="22"/>
                <w:szCs w:val="22"/>
              </w:rPr>
            </w:pPr>
            <w:r>
              <w:rPr>
                <w:rFonts w:ascii="Times New Roman;serif" w:hAnsi="Times New Roman;serif"/>
                <w:sz w:val="22"/>
                <w:szCs w:val="22"/>
              </w:rPr>
              <w:t>К/с 30101810600000000608</w:t>
            </w:r>
          </w:p>
          <w:p>
            <w:pPr>
              <w:pStyle w:val="Normal"/>
              <w:ind w:hanging="0" w:left="0" w:right="0"/>
              <w:rPr>
                <w:rFonts w:ascii="Times New Roman;serif" w:hAnsi="Times New Roman;serif"/>
                <w:sz w:val="22"/>
                <w:szCs w:val="22"/>
              </w:rPr>
            </w:pPr>
            <w:r>
              <w:rPr>
                <w:rFonts w:ascii="Times New Roman;serif" w:hAnsi="Times New Roman;serif"/>
                <w:sz w:val="22"/>
                <w:szCs w:val="22"/>
              </w:rPr>
              <w:t>БИК 040813608</w:t>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Внимание! 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5" w:name="_Ref125362995"/>
            <w:bookmarkStart w:id="36" w:name="_Ref125362995"/>
            <w:bookmarkEnd w:id="36"/>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Требования</w:t>
              <w:br/>
              <w:t>к описанию продукции:</w:t>
            </w:r>
          </w:p>
        </w:tc>
        <w:tc>
          <w:tcPr>
            <w:tcW w:w="5676" w:type="dxa"/>
            <w:tcBorders/>
          </w:tcPr>
          <w:p>
            <w:pPr>
              <w:pStyle w:val="Style31"/>
              <w:widowControl/>
              <w:suppressAutoHyphens w:val="true"/>
              <w:spacing w:before="60" w:after="60"/>
              <w:rPr/>
            </w:pPr>
            <w:r>
              <w:rPr>
                <w:rFonts w:eastAsia="Calibri" w:cs=""/>
                <w:kern w:val="0"/>
                <w:sz w:val="22"/>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Применение законодательства о национальном режиме:</w:t>
            </w:r>
          </w:p>
        </w:tc>
        <w:tc>
          <w:tcPr>
            <w:tcW w:w="5676" w:type="dxa"/>
            <w:tcBorders/>
          </w:tcPr>
          <w:p>
            <w:pPr>
              <w:pStyle w:val="Style34"/>
              <w:keepNext w:val="true"/>
              <w:widowControl/>
              <w:suppressAutoHyphens w:val="true"/>
              <w:spacing w:before="60" w:after="60"/>
              <w:rPr>
                <w:rFonts w:eastAsia="Calibri" w:cs=""/>
                <w:kern w:val="0"/>
                <w:lang w:val="ru-RU" w:eastAsia="en-US" w:bidi="ar-SA"/>
              </w:rPr>
            </w:pPr>
            <w:r>
              <w:rPr>
                <w:rFonts w:eastAsia="Calibri" w:cs=""/>
                <w:kern w:val="0"/>
                <w:lang w:val="ru-RU" w:eastAsia="en-US" w:bidi="ar-SA"/>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Национальный режим предоставляется.</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7" w:name="_Ref125533737"/>
            <w:bookmarkStart w:id="38" w:name="_Ref125533737"/>
            <w:bookmarkEnd w:id="38"/>
          </w:p>
        </w:tc>
        <w:tc>
          <w:tcPr>
            <w:tcW w:w="3238" w:type="dxa"/>
            <w:tcBorders/>
          </w:tcPr>
          <w:p>
            <w:pPr>
              <w:pStyle w:val="Normal"/>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Возможность подачи альтернативных предложений:</w:t>
            </w:r>
          </w:p>
        </w:tc>
        <w:tc>
          <w:tcPr>
            <w:tcW w:w="5676" w:type="dxa"/>
            <w:tcBorders/>
          </w:tcPr>
          <w:p>
            <w:pPr>
              <w:pStyle w:val="Style34"/>
              <w:widowControl/>
              <w:suppressAutoHyphens w:val="true"/>
              <w:spacing w:before="60" w:after="60"/>
              <w:rPr>
                <w:rFonts w:eastAsia="Calibri" w:cs=""/>
                <w:kern w:val="0"/>
                <w:lang w:val="ru-RU" w:eastAsia="en-US" w:bidi="ar-SA"/>
              </w:rPr>
            </w:pPr>
            <w:r>
              <w:rPr>
                <w:rFonts w:eastAsia="Calibri" w:cs=""/>
                <w:kern w:val="0"/>
                <w:lang w:val="ru-RU" w:eastAsia="en-US" w:bidi="ar-SA"/>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Не предусмотрена.</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9" w:name="_Ref125475086"/>
            <w:bookmarkStart w:id="40" w:name="_Ref125475086"/>
            <w:bookmarkEnd w:id="40"/>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Место и порядок подачи заявок:</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Заявки подаются посредством функционала ЭП, по адресу ЭП, указанному в пункте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_Ref125360764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1.2.5</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1" w:name="_Ref125360779"/>
            <w:bookmarkStart w:id="42" w:name="_Ref125360779"/>
            <w:bookmarkEnd w:id="42"/>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Дата начала; дата и время окончания срока подачи заявок:</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Дата начала подачи заявок:</w:t>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w:t>
            </w:r>
            <w:r>
              <w:rPr>
                <w:rFonts w:eastAsia="Calibri" w:cs=""/>
                <w:kern w:val="0"/>
                <w:sz w:val="22"/>
                <w:szCs w:val="22"/>
                <w:lang w:val="ru-RU" w:eastAsia="en-US" w:bidi="ar-SA"/>
              </w:rPr>
              <w:t>19</w:t>
            </w:r>
            <w:r>
              <w:rPr>
                <w:rFonts w:eastAsia="Calibri" w:cs=""/>
                <w:kern w:val="0"/>
                <w:sz w:val="22"/>
                <w:szCs w:val="22"/>
                <w:lang w:val="ru-RU" w:eastAsia="en-US" w:bidi="ar-SA"/>
              </w:rPr>
              <w:t>» октября 2026 г.</w:t>
            </w:r>
          </w:p>
          <w:p>
            <w:pPr>
              <w:pStyle w:val="Style31"/>
              <w:widowControl/>
              <w:suppressAutoHyphens w:val="true"/>
              <w:spacing w:before="60" w:after="60"/>
              <w:rPr>
                <w:rStyle w:val="Style11"/>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Дата и время окончания срока подачи заявок:</w:t>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«10» ноября  2026 г. в 15 ч. 00 мин.</w:t>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(по местному времени Организатора).</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Срок предоставления Участникам разъяснений Документации о закупке:</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Дата и время окончания срока предоставления разъяснений:</w:t>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«10» ноября 2026 г. в 15 ч. 00 мин.</w:t>
            </w:r>
          </w:p>
          <w:p>
            <w:pPr>
              <w:pStyle w:val="Style31"/>
              <w:widowControl/>
              <w:suppressAutoHyphens w:val="true"/>
              <w:spacing w:before="60" w:after="60"/>
              <w:rPr/>
            </w:pPr>
            <w:r>
              <w:rPr>
                <w:rFonts w:eastAsia="Calibri" w:cs=""/>
                <w:kern w:val="0"/>
                <w:sz w:val="22"/>
                <w:szCs w:val="22"/>
                <w:lang w:val="ru-RU" w:eastAsia="en-US" w:bidi="ar-SA"/>
              </w:rPr>
              <w:t>(по местному времени Организатора).</w:t>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_Ref125360779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1.2.18</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3" w:name="_Ref125476197"/>
            <w:bookmarkStart w:id="44" w:name="_Ref125476197"/>
            <w:bookmarkEnd w:id="44"/>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Место открытия</w:t>
              <w:br/>
              <w:t>доступа к заявкам:</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_Ref125360764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1.2.5</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5" w:name="_Ref125362733"/>
            <w:bookmarkStart w:id="46" w:name="_Ref125362733"/>
            <w:bookmarkEnd w:id="46"/>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Дата окончания рассмотрения заявок:</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«30» ноября 2026 г.</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Возможность проведения процедуры переторжки:</w:t>
            </w:r>
          </w:p>
        </w:tc>
        <w:tc>
          <w:tcPr>
            <w:tcW w:w="5676" w:type="dxa"/>
            <w:tcBorders/>
          </w:tcPr>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Не предусмотрено.</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7" w:name="_Ref125362757"/>
            <w:bookmarkStart w:id="48" w:name="_Ref125362757"/>
            <w:bookmarkEnd w:id="48"/>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Дата подведения</w:t>
              <w:br/>
              <w:t>итогов закупки:</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«30» ноября 2026 г.</w:t>
            </w:r>
          </w:p>
          <w:p>
            <w:pPr>
              <w:pStyle w:val="Style31"/>
              <w:widowControl/>
              <w:suppressAutoHyphens w:val="true"/>
              <w:spacing w:before="60" w:after="60"/>
              <w:rPr>
                <w:rStyle w:val="Style11"/>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9" w:name="_Ref125361769"/>
            <w:bookmarkStart w:id="50" w:name="_Ref125361769"/>
            <w:bookmarkEnd w:id="50"/>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Не предусмотрено.</w:t>
            </w:r>
          </w:p>
          <w:p>
            <w:pPr>
              <w:pStyle w:val="Style31"/>
              <w:widowControl/>
              <w:suppressAutoHyphens w:val="true"/>
              <w:spacing w:before="60" w:after="60"/>
              <w:rPr>
                <w:rFonts w:ascii="Times New Roman" w:hAnsi="Times New Roman"/>
                <w:sz w:val="22"/>
                <w:szCs w:val="22"/>
              </w:rPr>
            </w:pPr>
            <w:r>
              <w:rPr>
                <w:sz w:val="22"/>
                <w:szCs w:val="22"/>
              </w:rPr>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Порядок подведения</w:t>
              <w:br/>
              <w:t>итогов закупки:</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51" w:name="_Ref125366606"/>
            <w:bookmarkStart w:id="52" w:name="_Ref125366606"/>
            <w:bookmarkEnd w:id="52"/>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Количество победителей закупки (в рамках одного лота):</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Один победитель.</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53" w:name="_Ref125533374"/>
            <w:bookmarkStart w:id="54" w:name="_Ref125533374"/>
            <w:bookmarkEnd w:id="54"/>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Форма заключения Договора:</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В бумажной или электронной форме (подробный порядок заключения Договора содержится в 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_Ref126142429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5</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p>
            <w:pPr>
              <w:pStyle w:val="Style31"/>
              <w:widowControl/>
              <w:suppressAutoHyphens w:val="true"/>
              <w:spacing w:before="60" w:after="60"/>
              <w:rPr/>
            </w:pPr>
            <w:r>
              <w:rPr>
                <w:rFonts w:eastAsia="Calibri" w:cs=""/>
                <w:kern w:val="0"/>
                <w:sz w:val="22"/>
                <w:szCs w:val="22"/>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r>
              <w:rPr>
                <w:rStyle w:val="Style11"/>
                <w:rFonts w:eastAsia="Calibri" w:cs="" w:cstheme="minorBidi" w:eastAsiaTheme="minorHAnsi"/>
                <w:i w:val="false"/>
                <w:iCs w:val="false"/>
                <w:color w:val="000000"/>
                <w:kern w:val="0"/>
                <w:sz w:val="22"/>
                <w:szCs w:val="22"/>
                <w:shd w:fill="auto" w:val="clear"/>
                <w:lang w:val="ru-RU" w:eastAsia="en-US" w:bidi="ar-SA"/>
              </w:rPr>
              <w:t>АО «ПФ «СКБ Контур» с использованием web-решения Диадок (https://diadoc.kontur.ru)</w:t>
            </w:r>
            <w:r>
              <w:rPr>
                <w:rFonts w:eastAsia="Calibri" w:cs="" w:cstheme="minorBidi" w:eastAsiaTheme="minorHAnsi"/>
                <w:i w:val="false"/>
                <w:iCs w:val="false"/>
                <w:color w:val="000000"/>
                <w:kern w:val="0"/>
                <w:sz w:val="22"/>
                <w:szCs w:val="22"/>
                <w:shd w:fill="auto" w:val="clear"/>
                <w:lang w:val="ru-RU" w:eastAsia="en-US" w:bidi="ar-SA"/>
              </w:rPr>
              <w:t>,</w:t>
            </w:r>
            <w:r>
              <w:rPr>
                <w:rFonts w:eastAsia="Calibri" w:cs=""/>
                <w:kern w:val="0"/>
                <w:sz w:val="22"/>
                <w:szCs w:val="22"/>
                <w:lang w:val="ru-RU" w:eastAsia="en-US" w:bidi="ar-SA"/>
              </w:rPr>
              <w:t xml:space="preserve">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55" w:name="_Ref125366813"/>
            <w:bookmarkStart w:id="56" w:name="_Ref125366813"/>
            <w:bookmarkEnd w:id="56"/>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31"/>
              <w:keepNext w:val="true"/>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Для подачи документов в бумажной форме:</w:t>
            </w:r>
          </w:p>
          <w:p>
            <w:pPr>
              <w:pStyle w:val="Style31"/>
              <w:keepNext w:val="true"/>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Контактное лицо (Ф.И.О.):</w:t>
            </w:r>
          </w:p>
          <w:p>
            <w:pPr>
              <w:pStyle w:val="Normal"/>
              <w:widowControl w:val="false"/>
              <w:spacing w:lineRule="auto" w:line="240" w:before="60" w:after="60"/>
              <w:ind w:hanging="0"/>
              <w:rPr>
                <w:i/>
                <w:i/>
                <w:iCs/>
                <w:sz w:val="22"/>
                <w:szCs w:val="22"/>
              </w:rPr>
            </w:pPr>
            <w:r>
              <w:rPr>
                <w:rFonts w:eastAsia="Calibri" w:cs=""/>
                <w:i/>
                <w:iCs/>
                <w:kern w:val="0"/>
                <w:sz w:val="22"/>
                <w:szCs w:val="22"/>
                <w:lang w:val="ru-RU" w:eastAsia="en-US" w:bidi="ar-SA"/>
              </w:rPr>
              <w:t>Кузмищева Ирина Владимировна,</w:t>
            </w:r>
          </w:p>
          <w:p>
            <w:pPr>
              <w:pStyle w:val="Style31"/>
              <w:keepNext w:val="true"/>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Почтовый адрес:</w:t>
            </w:r>
          </w:p>
          <w:p>
            <w:pPr>
              <w:pStyle w:val="Normal"/>
              <w:widowControl w:val="false"/>
              <w:spacing w:lineRule="auto" w:line="240" w:before="60" w:after="60"/>
              <w:ind w:hanging="0"/>
              <w:rPr>
                <w:i/>
                <w:i/>
                <w:iCs/>
                <w:sz w:val="22"/>
                <w:szCs w:val="22"/>
              </w:rPr>
            </w:pPr>
            <w:r>
              <w:rPr>
                <w:rFonts w:eastAsia="Calibri" w:cs=""/>
                <w:i/>
                <w:iCs/>
                <w:kern w:val="0"/>
                <w:sz w:val="22"/>
                <w:szCs w:val="22"/>
                <w:lang w:val="ru-RU" w:eastAsia="en-US" w:bidi="ar-SA"/>
              </w:rPr>
              <w:t>681034, Хабаровский край, г. Комсомольск-на Амуре, Северное шоссе, 151</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57" w:name="_Ref125368490"/>
            <w:bookmarkStart w:id="58" w:name="_Ref125368490"/>
            <w:bookmarkEnd w:id="58"/>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Некритичные пункты Проекта договора:</w:t>
            </w:r>
          </w:p>
        </w:tc>
        <w:tc>
          <w:tcPr>
            <w:tcW w:w="567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Отсутствуют.</w:t>
            </w:r>
          </w:p>
          <w:p>
            <w:pPr>
              <w:pStyle w:val="Style31"/>
              <w:widowControl/>
              <w:suppressAutoHyphens w:val="true"/>
              <w:spacing w:before="60" w:after="60"/>
              <w:rPr/>
            </w:pPr>
            <w:r>
              <w:rPr>
                <w:rFonts w:eastAsia="Calibri" w:cs=""/>
                <w:kern w:val="0"/>
                <w:sz w:val="22"/>
                <w:szCs w:val="22"/>
                <w:lang w:val="ru-RU" w:eastAsia="en-US" w:bidi="ar-SA"/>
              </w:rPr>
              <w:t xml:space="preserve">Внимание! Корректировка пунктов Проекта договора, не указанных в настоящем разделе, не допускается. Договор заключается в редакции </w:t>
            </w:r>
            <w:hyperlink w:anchor="Прил02_ПроектДоговора">
              <w:r>
                <w:rPr>
                  <w:rStyle w:val="Style14"/>
                  <w:rFonts w:eastAsia="Calibri" w:cs=""/>
                  <w:kern w:val="0"/>
                  <w:sz w:val="22"/>
                  <w:szCs w:val="22"/>
                  <w:lang w:val="ru-RU" w:eastAsia="en-US" w:bidi="ar-SA"/>
                </w:rPr>
                <w:t>Приложения № 2</w:t>
              </w:r>
            </w:hyperlink>
            <w:r>
              <w:rPr>
                <w:rFonts w:eastAsia="Calibri" w:cs=""/>
                <w:kern w:val="0"/>
                <w:sz w:val="22"/>
                <w:szCs w:val="22"/>
                <w:lang w:val="ru-RU" w:eastAsia="en-US" w:bidi="ar-SA"/>
              </w:rPr>
              <w:t>.</w:t>
            </w:r>
          </w:p>
        </w:tc>
      </w:tr>
      <w:tr>
        <w:trPr/>
        <w:tc>
          <w:tcPr>
            <w:tcW w:w="840" w:type="dxa"/>
            <w:tcBorders/>
          </w:tcPr>
          <w:p>
            <w:pPr>
              <w:pStyle w:val="Style27"/>
              <w:widowControl/>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8" w:type="dxa"/>
            <w:tcBorders/>
          </w:tcPr>
          <w:p>
            <w:pPr>
              <w:pStyle w:val="Style31"/>
              <w:widowControl/>
              <w:suppressAutoHyphens w:val="true"/>
              <w:spacing w:before="60" w:after="60"/>
              <w:jc w:val="left"/>
              <w:rPr>
                <w:rFonts w:ascii="Times New Roman" w:hAnsi="Times New Roman"/>
                <w:sz w:val="22"/>
                <w:szCs w:val="22"/>
              </w:rPr>
            </w:pPr>
            <w:r>
              <w:rPr>
                <w:rFonts w:eastAsia="Calibri" w:cs=""/>
                <w:kern w:val="0"/>
                <w:sz w:val="22"/>
                <w:szCs w:val="22"/>
                <w:lang w:val="ru-RU" w:eastAsia="en-US" w:bidi="ar-SA"/>
              </w:rPr>
              <w:t>Обеспечение</w:t>
              <w:br/>
              <w:t>исполнения Договора:</w:t>
            </w:r>
          </w:p>
        </w:tc>
        <w:tc>
          <w:tcPr>
            <w:tcW w:w="5676" w:type="dxa"/>
            <w:tcBorders/>
          </w:tcPr>
          <w:p>
            <w:pPr>
              <w:pStyle w:val="Normal"/>
              <w:spacing w:lineRule="auto" w:line="259" w:before="120" w:after="0"/>
              <w:ind w:hanging="0" w:left="142" w:right="0"/>
              <w:rPr>
                <w:sz w:val="22"/>
                <w:szCs w:val="22"/>
              </w:rPr>
            </w:pPr>
            <w:r>
              <w:rPr>
                <w:i/>
                <w:iCs/>
                <w:color w:val="auto"/>
                <w:sz w:val="22"/>
                <w:szCs w:val="22"/>
              </w:rPr>
              <w:t xml:space="preserve">Требуется обеспечение </w:t>
            </w:r>
            <w:r>
              <w:rPr>
                <w:rFonts w:eastAsia="geneva"/>
                <w:i/>
                <w:iCs/>
                <w:color w:val="auto"/>
                <w:sz w:val="22"/>
                <w:szCs w:val="22"/>
                <w:lang w:eastAsia="en-US"/>
              </w:rPr>
              <w:t>возврата предварительной оплаты (аванса):</w:t>
            </w:r>
          </w:p>
          <w:p>
            <w:pPr>
              <w:pStyle w:val="ListParagraph"/>
              <w:numPr>
                <w:ilvl w:val="0"/>
                <w:numId w:val="0"/>
              </w:numPr>
              <w:spacing w:before="0" w:after="0"/>
              <w:ind w:hanging="0" w:left="142" w:right="0"/>
              <w:contextualSpacing/>
              <w:jc w:val="both"/>
              <w:rPr>
                <w:sz w:val="22"/>
                <w:szCs w:val="22"/>
              </w:rPr>
            </w:pPr>
            <w:r>
              <w:rPr>
                <w:rFonts w:eastAsia="Times New Roman"/>
                <w:i/>
                <w:iCs/>
                <w:color w:val="auto"/>
                <w:sz w:val="22"/>
                <w:szCs w:val="22"/>
              </w:rPr>
              <w:t>1) возврат предварительной оплаты (аванса):</w:t>
            </w:r>
          </w:p>
          <w:p>
            <w:pPr>
              <w:pStyle w:val="ListParagraph"/>
              <w:numPr>
                <w:ilvl w:val="0"/>
                <w:numId w:val="13"/>
              </w:numPr>
              <w:spacing w:before="0" w:after="0"/>
              <w:ind w:hanging="0" w:left="142" w:right="0"/>
              <w:contextualSpacing/>
              <w:jc w:val="both"/>
              <w:rPr>
                <w:sz w:val="22"/>
                <w:szCs w:val="22"/>
              </w:rPr>
            </w:pPr>
            <w:r>
              <w:rPr>
                <w:rFonts w:eastAsia="Times New Roman"/>
                <w:i/>
                <w:iCs/>
                <w:color w:val="auto"/>
                <w:sz w:val="22"/>
                <w:szCs w:val="22"/>
              </w:rPr>
              <w:t xml:space="preserve">размер обеспечения:  100 (сто) процентов от размера уплачиваемой по Договору предварительной оплаты (аванса). </w:t>
            </w:r>
          </w:p>
          <w:p>
            <w:pPr>
              <w:pStyle w:val="ListParagraph"/>
              <w:numPr>
                <w:ilvl w:val="0"/>
                <w:numId w:val="13"/>
              </w:numPr>
              <w:spacing w:before="0" w:after="0"/>
              <w:ind w:hanging="0" w:left="142" w:right="0"/>
              <w:contextualSpacing/>
              <w:jc w:val="both"/>
              <w:rPr>
                <w:sz w:val="22"/>
                <w:szCs w:val="22"/>
              </w:rPr>
            </w:pPr>
            <w:r>
              <w:rPr>
                <w:rFonts w:eastAsia="Times New Roman"/>
                <w:i/>
                <w:iCs/>
                <w:color w:val="auto"/>
                <w:sz w:val="22"/>
                <w:szCs w:val="22"/>
              </w:rPr>
              <w:t>валюта обеспечения: в валюте Договора.</w:t>
            </w:r>
          </w:p>
          <w:p>
            <w:pPr>
              <w:pStyle w:val="Normal"/>
              <w:spacing w:lineRule="auto" w:line="259"/>
              <w:ind w:hanging="0" w:left="142" w:right="0"/>
              <w:rPr>
                <w:sz w:val="22"/>
                <w:szCs w:val="22"/>
              </w:rPr>
            </w:pPr>
            <w:r>
              <w:rPr>
                <w:i/>
                <w:iCs/>
                <w:color w:val="auto"/>
                <w:sz w:val="22"/>
                <w:szCs w:val="22"/>
              </w:rPr>
              <w:t xml:space="preserve">2) </w:t>
            </w:r>
            <w:r>
              <w:rPr>
                <w:rFonts w:eastAsia="geneva"/>
                <w:i/>
                <w:iCs/>
                <w:color w:val="auto"/>
                <w:sz w:val="22"/>
                <w:szCs w:val="22"/>
                <w:lang w:eastAsia="en-US"/>
              </w:rPr>
              <w:t>надлежащее исполнение обязательств по договору:</w:t>
            </w:r>
          </w:p>
          <w:p>
            <w:pPr>
              <w:pStyle w:val="ListParagraph"/>
              <w:numPr>
                <w:ilvl w:val="0"/>
                <w:numId w:val="0"/>
              </w:numPr>
              <w:spacing w:before="0" w:after="0"/>
              <w:ind w:hanging="0" w:left="142" w:right="0"/>
              <w:contextualSpacing/>
              <w:jc w:val="both"/>
              <w:rPr>
                <w:sz w:val="22"/>
                <w:szCs w:val="22"/>
              </w:rPr>
            </w:pPr>
            <w:r>
              <w:rPr>
                <w:rFonts w:eastAsia="Times New Roman"/>
                <w:i/>
                <w:iCs/>
                <w:color w:val="auto"/>
                <w:sz w:val="22"/>
                <w:szCs w:val="22"/>
              </w:rPr>
              <w:t xml:space="preserve">- размер обеспечения: не менее 10 (десяти) процентов от Цены Договора. </w:t>
            </w:r>
          </w:p>
          <w:p>
            <w:pPr>
              <w:pStyle w:val="ListParagraph"/>
              <w:numPr>
                <w:ilvl w:val="0"/>
                <w:numId w:val="12"/>
              </w:numPr>
              <w:spacing w:before="0" w:after="0"/>
              <w:ind w:hanging="0" w:left="142" w:right="0"/>
              <w:contextualSpacing/>
              <w:jc w:val="both"/>
              <w:rPr>
                <w:sz w:val="22"/>
                <w:szCs w:val="22"/>
              </w:rPr>
            </w:pPr>
            <w:r>
              <w:rPr>
                <w:rFonts w:eastAsia="Times New Roman"/>
                <w:i/>
                <w:iCs/>
                <w:color w:val="auto"/>
                <w:sz w:val="22"/>
                <w:szCs w:val="22"/>
              </w:rPr>
              <w:t>валюта обеспечения: в валюте Договора.</w:t>
            </w:r>
          </w:p>
          <w:p>
            <w:pPr>
              <w:pStyle w:val="Normal"/>
              <w:spacing w:lineRule="auto" w:line="259"/>
              <w:ind w:hanging="0" w:left="142" w:right="0"/>
              <w:rPr>
                <w:sz w:val="22"/>
                <w:szCs w:val="22"/>
              </w:rPr>
            </w:pPr>
            <w:r>
              <w:rPr>
                <w:i/>
                <w:iCs/>
                <w:color w:val="auto"/>
                <w:sz w:val="22"/>
                <w:szCs w:val="22"/>
              </w:rPr>
              <w:t>Иные требования к обеспечению исполнения Договора: приведены в Проекте договора (Приложение №2 к Документации о закупке).</w:t>
            </w:r>
          </w:p>
        </w:tc>
      </w:tr>
    </w:tbl>
    <w:p>
      <w:pPr>
        <w:pStyle w:val="Style25"/>
        <w:rPr>
          <w:rFonts w:ascii="Times New Roman" w:hAnsi="Times New Roman"/>
          <w:sz w:val="22"/>
          <w:szCs w:val="22"/>
        </w:rPr>
      </w:pPr>
      <w:bookmarkStart w:id="59" w:name="_Ref125360073"/>
      <w:bookmarkStart w:id="60" w:name="_Ref125360337"/>
      <w:bookmarkStart w:id="61" w:name="_Toc230928830"/>
      <w:r>
        <w:rPr>
          <w:sz w:val="22"/>
          <w:szCs w:val="22"/>
        </w:rPr>
        <w:t>Общие положения</w:t>
      </w:r>
      <w:bookmarkEnd w:id="59"/>
      <w:bookmarkEnd w:id="60"/>
      <w:bookmarkEnd w:id="61"/>
    </w:p>
    <w:p>
      <w:pPr>
        <w:pStyle w:val="Style26"/>
        <w:rPr>
          <w:rFonts w:ascii="Times New Roman" w:hAnsi="Times New Roman"/>
          <w:sz w:val="22"/>
          <w:szCs w:val="22"/>
        </w:rPr>
      </w:pPr>
      <w:bookmarkStart w:id="62" w:name="_Toc230928831"/>
      <w:r>
        <w:rPr>
          <w:sz w:val="22"/>
          <w:szCs w:val="22"/>
        </w:rPr>
        <w:t>Общие сведения о закупке</w:t>
      </w:r>
      <w:bookmarkEnd w:id="62"/>
    </w:p>
    <w:p>
      <w:pPr>
        <w:pStyle w:val="Style27"/>
        <w:rPr>
          <w:rFonts w:ascii="Times New Roman" w:hAnsi="Times New Roman"/>
          <w:sz w:val="22"/>
          <w:szCs w:val="22"/>
        </w:rPr>
      </w:pPr>
      <w:r>
        <w:rPr>
          <w:sz w:val="22"/>
          <w:szCs w:val="22"/>
        </w:rPr>
        <w:t>Организатор официально размещенным Извещением приглашает лиц,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к участию в закупке на право заключения договора, предмет которого указан в том же подразделе.</w:t>
      </w:r>
    </w:p>
    <w:p>
      <w:pPr>
        <w:pStyle w:val="Style27"/>
        <w:rPr>
          <w:rFonts w:ascii="Times New Roman" w:hAnsi="Times New Roman"/>
          <w:sz w:val="22"/>
          <w:szCs w:val="22"/>
        </w:rPr>
      </w:pPr>
      <w:r>
        <w:rPr>
          <w:sz w:val="22"/>
          <w:szCs w:val="22"/>
        </w:rPr>
        <w:t>Требования к Участникам, а также к документам, подтверждающим соответствие установленным требованиям, приведены в разделе </w:t>
      </w:r>
      <w:r>
        <w:rPr>
          <w:sz w:val="22"/>
          <w:szCs w:val="22"/>
        </w:rPr>
        <w:fldChar w:fldCharType="begin"/>
      </w:r>
      <w:r>
        <w:rPr>
          <w:sz w:val="22"/>
          <w:szCs w:val="22"/>
        </w:rPr>
        <w:instrText xml:space="preserve"> REF _Ref125361210 \r \h </w:instrText>
      </w:r>
      <w:r>
        <w:rPr>
          <w:sz w:val="22"/>
          <w:szCs w:val="22"/>
        </w:rPr>
        <w:fldChar w:fldCharType="separate"/>
      </w:r>
      <w:r>
        <w:rPr>
          <w:sz w:val="22"/>
          <w:szCs w:val="22"/>
        </w:rPr>
        <w:t>3</w:t>
      </w:r>
      <w:r>
        <w:rPr>
          <w:sz w:val="22"/>
          <w:szCs w:val="22"/>
        </w:rPr>
        <w:fldChar w:fldCharType="end"/>
      </w:r>
      <w:r>
        <w:rPr>
          <w:sz w:val="22"/>
          <w:szCs w:val="22"/>
        </w:rPr>
        <w:t xml:space="preserve"> Документации о закупке.</w:t>
      </w:r>
    </w:p>
    <w:p>
      <w:pPr>
        <w:pStyle w:val="Style27"/>
        <w:rPr/>
      </w:pPr>
      <w:r>
        <w:rPr>
          <w:sz w:val="22"/>
          <w:szCs w:val="22"/>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4"/>
            <w:sz w:val="22"/>
            <w:szCs w:val="22"/>
          </w:rPr>
          <w:t>Технических требованиях (Приложение № 1)</w:t>
        </w:r>
      </w:hyperlink>
      <w:r>
        <w:rPr>
          <w:sz w:val="22"/>
          <w:szCs w:val="22"/>
        </w:rPr>
        <w:t xml:space="preserve">. </w:t>
      </w:r>
      <w:hyperlink w:anchor="Прил02_ПроектДоговора">
        <w:r>
          <w:rPr>
            <w:rStyle w:val="Style14"/>
            <w:sz w:val="22"/>
            <w:szCs w:val="22"/>
          </w:rPr>
          <w:t>Проект договора</w:t>
        </w:r>
      </w:hyperlink>
      <w:r>
        <w:rPr>
          <w:sz w:val="22"/>
          <w:szCs w:val="22"/>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4"/>
            <w:sz w:val="22"/>
            <w:szCs w:val="22"/>
          </w:rPr>
          <w:t>Приложении № 2</w:t>
        </w:r>
      </w:hyperlink>
      <w:r>
        <w:rPr>
          <w:sz w:val="22"/>
          <w:szCs w:val="22"/>
        </w:rPr>
        <w:t>. 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4"/>
            <w:sz w:val="22"/>
            <w:szCs w:val="22"/>
          </w:rPr>
          <w:t>Приложение № 4</w:t>
        </w:r>
      </w:hyperlink>
      <w:r>
        <w:rPr>
          <w:sz w:val="22"/>
          <w:szCs w:val="22"/>
        </w:rPr>
        <w:t>)).</w:t>
      </w:r>
    </w:p>
    <w:p>
      <w:pPr>
        <w:pStyle w:val="Style27"/>
        <w:rPr/>
      </w:pPr>
      <w:r>
        <w:rPr>
          <w:sz w:val="22"/>
          <w:szCs w:val="22"/>
        </w:rPr>
        <w:t>Подробная информация о порядке проведения закупки и участия в ней, а также о порядке заключения Договора, приведены в разделах </w:t>
      </w:r>
      <w:r>
        <w:rPr>
          <w:sz w:val="22"/>
          <w:szCs w:val="22"/>
        </w:rPr>
        <w:fldChar w:fldCharType="begin"/>
      </w:r>
      <w:r>
        <w:rPr>
          <w:sz w:val="22"/>
          <w:szCs w:val="22"/>
        </w:rPr>
        <w:instrText xml:space="preserve"> REF _Ref125361211 \r \h </w:instrText>
      </w:r>
      <w:r>
        <w:rPr>
          <w:sz w:val="22"/>
          <w:szCs w:val="22"/>
        </w:rPr>
        <w:fldChar w:fldCharType="separate"/>
      </w:r>
      <w:r>
        <w:rPr>
          <w:sz w:val="22"/>
          <w:szCs w:val="22"/>
        </w:rPr>
        <w:t>4</w:t>
      </w:r>
      <w:r>
        <w:rPr>
          <w:sz w:val="22"/>
          <w:szCs w:val="22"/>
        </w:rPr>
        <w:fldChar w:fldCharType="end"/>
      </w:r>
      <w:r>
        <w:rPr>
          <w:sz w:val="22"/>
          <w:szCs w:val="22"/>
        </w:rPr>
        <w:t xml:space="preserve">,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4"/>
            <w:sz w:val="22"/>
            <w:szCs w:val="22"/>
          </w:rPr>
          <w:t>№ 4</w:t>
        </w:r>
      </w:hyperlink>
      <w:r>
        <w:rPr>
          <w:sz w:val="22"/>
          <w:szCs w:val="22"/>
        </w:rPr>
        <w:t xml:space="preserve">, </w:t>
      </w:r>
      <w:hyperlink w:anchor="Прил05_ФормыПобедителя">
        <w:r>
          <w:rPr>
            <w:rStyle w:val="Style14"/>
            <w:sz w:val="22"/>
            <w:szCs w:val="22"/>
          </w:rPr>
          <w:t>№ 5</w:t>
        </w:r>
      </w:hyperlink>
      <w:r>
        <w:rPr>
          <w:sz w:val="22"/>
          <w:szCs w:val="22"/>
        </w:rPr>
        <w:t>.</w:t>
      </w:r>
    </w:p>
    <w:p>
      <w:pPr>
        <w:pStyle w:val="Style26"/>
        <w:rPr>
          <w:rFonts w:ascii="Times New Roman" w:hAnsi="Times New Roman"/>
          <w:sz w:val="22"/>
          <w:szCs w:val="22"/>
        </w:rPr>
      </w:pPr>
      <w:bookmarkStart w:id="63" w:name="_Toc230928832"/>
      <w:r>
        <w:rPr>
          <w:sz w:val="22"/>
          <w:szCs w:val="22"/>
        </w:rPr>
        <w:t>Правовой статус документов</w:t>
      </w:r>
      <w:bookmarkEnd w:id="63"/>
    </w:p>
    <w:p>
      <w:pPr>
        <w:pStyle w:val="Style27"/>
        <w:rPr>
          <w:rFonts w:ascii="Times New Roman" w:hAnsi="Times New Roman"/>
          <w:sz w:val="22"/>
          <w:szCs w:val="22"/>
        </w:rPr>
      </w:pPr>
      <w:r>
        <w:rPr>
          <w:sz w:val="22"/>
          <w:szCs w:val="22"/>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7"/>
        <w:rPr>
          <w:rFonts w:ascii="Times New Roman" w:hAnsi="Times New Roman"/>
          <w:sz w:val="22"/>
          <w:szCs w:val="22"/>
        </w:rPr>
      </w:pPr>
      <w:r>
        <w:rPr>
          <w:sz w:val="22"/>
          <w:szCs w:val="22"/>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7"/>
        <w:keepNext w:val="true"/>
        <w:rPr>
          <w:rFonts w:ascii="Times New Roman" w:hAnsi="Times New Roman"/>
          <w:sz w:val="22"/>
          <w:szCs w:val="22"/>
        </w:rPr>
      </w:pPr>
      <w:bookmarkStart w:id="64" w:name="_Ref125366985"/>
      <w:r>
        <w:rPr>
          <w:sz w:val="22"/>
          <w:szCs w:val="22"/>
        </w:rPr>
        <w:t>При определении условий Договора по результатам закупки используется иерархия документов, установленная в пункте </w:t>
      </w:r>
      <w:r>
        <w:rPr>
          <w:sz w:val="22"/>
          <w:szCs w:val="22"/>
        </w:rPr>
        <w:fldChar w:fldCharType="begin"/>
      </w:r>
      <w:r>
        <w:rPr>
          <w:sz w:val="22"/>
          <w:szCs w:val="22"/>
        </w:rPr>
        <w:instrText xml:space="preserve"> REF _Ref132288402 \r \h </w:instrText>
      </w:r>
      <w:r>
        <w:rPr>
          <w:sz w:val="22"/>
          <w:szCs w:val="22"/>
        </w:rPr>
        <w:fldChar w:fldCharType="separate"/>
      </w:r>
      <w:r>
        <w:rPr>
          <w:sz w:val="22"/>
          <w:szCs w:val="22"/>
        </w:rPr>
        <w:t>5.2.9</w:t>
      </w:r>
      <w:r>
        <w:rPr>
          <w:sz w:val="22"/>
          <w:szCs w:val="22"/>
        </w:rPr>
        <w:fldChar w:fldCharType="end"/>
      </w:r>
      <w:bookmarkEnd w:id="64"/>
      <w:r>
        <w:rPr>
          <w:sz w:val="22"/>
          <w:szCs w:val="22"/>
        </w:rPr>
        <w:t>.</w:t>
      </w:r>
    </w:p>
    <w:p>
      <w:pPr>
        <w:pStyle w:val="Style27"/>
        <w:rPr>
          <w:rFonts w:ascii="Times New Roman" w:hAnsi="Times New Roman"/>
          <w:sz w:val="22"/>
          <w:szCs w:val="22"/>
        </w:rPr>
      </w:pPr>
      <w:r>
        <w:rPr>
          <w:sz w:val="22"/>
          <w:szCs w:val="22"/>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27"/>
        <w:rPr>
          <w:rFonts w:ascii="Times New Roman" w:hAnsi="Times New Roman"/>
          <w:sz w:val="22"/>
          <w:szCs w:val="22"/>
        </w:rPr>
      </w:pPr>
      <w:r>
        <w:rPr>
          <w:sz w:val="22"/>
          <w:szCs w:val="22"/>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7"/>
        <w:rPr>
          <w:rFonts w:ascii="Times New Roman" w:hAnsi="Times New Roman"/>
          <w:sz w:val="22"/>
          <w:szCs w:val="22"/>
        </w:rPr>
      </w:pPr>
      <w:r>
        <w:rPr>
          <w:sz w:val="22"/>
          <w:szCs w:val="22"/>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7"/>
        <w:rPr>
          <w:rFonts w:ascii="Times New Roman" w:hAnsi="Times New Roman"/>
          <w:sz w:val="22"/>
          <w:szCs w:val="22"/>
        </w:rPr>
      </w:pPr>
      <w:r>
        <w:rPr>
          <w:sz w:val="22"/>
          <w:szCs w:val="22"/>
        </w:rPr>
        <w:t>Иные документы Организатора и Участников не определяют права и обязанности сторон в связи с данной закупкой.</w:t>
      </w:r>
    </w:p>
    <w:p>
      <w:pPr>
        <w:pStyle w:val="Style27"/>
        <w:rPr>
          <w:rFonts w:ascii="Times New Roman" w:hAnsi="Times New Roman"/>
          <w:sz w:val="22"/>
          <w:szCs w:val="22"/>
        </w:rPr>
      </w:pPr>
      <w:r>
        <w:rPr>
          <w:sz w:val="22"/>
          <w:szCs w:val="22"/>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6"/>
        <w:rPr>
          <w:rFonts w:ascii="Times New Roman" w:hAnsi="Times New Roman"/>
          <w:sz w:val="22"/>
          <w:szCs w:val="22"/>
        </w:rPr>
      </w:pPr>
      <w:bookmarkStart w:id="65" w:name="_Ref125363536"/>
      <w:bookmarkStart w:id="66" w:name="_Toc230928833"/>
      <w:r>
        <w:rPr>
          <w:sz w:val="22"/>
          <w:szCs w:val="22"/>
        </w:rPr>
        <w:t>Обжалование</w:t>
      </w:r>
      <w:bookmarkEnd w:id="65"/>
      <w:bookmarkEnd w:id="66"/>
    </w:p>
    <w:p>
      <w:pPr>
        <w:pStyle w:val="Style27"/>
        <w:rPr>
          <w:rFonts w:ascii="Times New Roman" w:hAnsi="Times New Roman"/>
          <w:sz w:val="22"/>
          <w:szCs w:val="22"/>
        </w:rPr>
      </w:pPr>
      <w:r>
        <w:rPr>
          <w:sz w:val="22"/>
          <w:szCs w:val="22"/>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7"/>
        <w:rPr>
          <w:rFonts w:ascii="Times New Roman" w:hAnsi="Times New Roman"/>
          <w:sz w:val="22"/>
          <w:szCs w:val="22"/>
        </w:rPr>
      </w:pPr>
      <w:r>
        <w:rPr>
          <w:sz w:val="22"/>
          <w:szCs w:val="22"/>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7"/>
        <w:keepNext w:val="true"/>
        <w:rPr>
          <w:rFonts w:ascii="Times New Roman" w:hAnsi="Times New Roman"/>
          <w:sz w:val="22"/>
          <w:szCs w:val="22"/>
        </w:rPr>
      </w:pPr>
      <w:r>
        <w:rPr>
          <w:sz w:val="22"/>
          <w:szCs w:val="22"/>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8"/>
        <w:rPr>
          <w:rFonts w:ascii="Times New Roman" w:hAnsi="Times New Roman"/>
          <w:sz w:val="22"/>
          <w:szCs w:val="22"/>
        </w:rPr>
      </w:pPr>
      <w:r>
        <w:rPr>
          <w:sz w:val="22"/>
          <w:szCs w:val="22"/>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8"/>
        <w:rPr>
          <w:rFonts w:ascii="Times New Roman" w:hAnsi="Times New Roman"/>
          <w:sz w:val="22"/>
          <w:szCs w:val="22"/>
        </w:rPr>
      </w:pPr>
      <w:r>
        <w:rPr>
          <w:sz w:val="22"/>
          <w:szCs w:val="22"/>
        </w:rPr>
        <w:t>признать заявление Участника необоснованным.</w:t>
      </w:r>
    </w:p>
    <w:p>
      <w:pPr>
        <w:pStyle w:val="Style27"/>
        <w:rPr>
          <w:rFonts w:ascii="Times New Roman" w:hAnsi="Times New Roman"/>
          <w:sz w:val="22"/>
          <w:szCs w:val="22"/>
        </w:rPr>
      </w:pPr>
      <w:r>
        <w:rPr>
          <w:sz w:val="22"/>
          <w:szCs w:val="22"/>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обжалование таких действий (бездействия) может осуществляться только Участником, подавшим заявку на участие в такой закупке.</w:t>
      </w:r>
    </w:p>
    <w:p>
      <w:pPr>
        <w:pStyle w:val="Style27"/>
        <w:rPr>
          <w:rFonts w:ascii="Times New Roman" w:hAnsi="Times New Roman"/>
          <w:sz w:val="22"/>
          <w:szCs w:val="22"/>
        </w:rPr>
      </w:pPr>
      <w:r>
        <w:rPr>
          <w:sz w:val="22"/>
          <w:szCs w:val="22"/>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8"/>
        <w:rPr>
          <w:rFonts w:ascii="Times New Roman" w:hAnsi="Times New Roman"/>
          <w:sz w:val="22"/>
          <w:szCs w:val="22"/>
        </w:rPr>
      </w:pPr>
      <w:r>
        <w:rPr>
          <w:sz w:val="22"/>
          <w:szCs w:val="22"/>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8"/>
        <w:rPr>
          <w:rFonts w:ascii="Times New Roman" w:hAnsi="Times New Roman"/>
          <w:sz w:val="22"/>
          <w:szCs w:val="22"/>
        </w:rPr>
      </w:pPr>
      <w:r>
        <w:rPr>
          <w:sz w:val="22"/>
          <w:szCs w:val="22"/>
        </w:rPr>
        <w:t>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Красноярского края.</w:t>
      </w:r>
    </w:p>
    <w:p>
      <w:pPr>
        <w:pStyle w:val="Style31"/>
        <w:ind w:left="1134"/>
        <w:rPr>
          <w:rFonts w:ascii="Times New Roman" w:hAnsi="Times New Roman"/>
          <w:sz w:val="22"/>
          <w:szCs w:val="22"/>
        </w:rPr>
      </w:pPr>
      <w:r>
        <w:rPr>
          <w:sz w:val="22"/>
          <w:szCs w:val="22"/>
        </w:rPr>
        <w:t>Закупочная комиссия определяется в соответствии с Положением о закупке.</w:t>
      </w:r>
    </w:p>
    <w:p>
      <w:pPr>
        <w:pStyle w:val="Style26"/>
        <w:rPr>
          <w:rFonts w:ascii="Times New Roman" w:hAnsi="Times New Roman"/>
          <w:sz w:val="22"/>
          <w:szCs w:val="22"/>
        </w:rPr>
      </w:pPr>
      <w:bookmarkStart w:id="67" w:name="_Ref125472658"/>
      <w:bookmarkStart w:id="68" w:name="_Toc230928834"/>
      <w:r>
        <w:rPr>
          <w:sz w:val="22"/>
          <w:szCs w:val="22"/>
        </w:rPr>
        <w:t>Особые положения при проведении закупки с использованием ЭП</w:t>
      </w:r>
      <w:bookmarkEnd w:id="67"/>
      <w:bookmarkEnd w:id="68"/>
    </w:p>
    <w:p>
      <w:pPr>
        <w:pStyle w:val="Style27"/>
        <w:rPr>
          <w:rFonts w:ascii="Times New Roman" w:hAnsi="Times New Roman"/>
          <w:sz w:val="22"/>
          <w:szCs w:val="22"/>
        </w:rPr>
      </w:pPr>
      <w:r>
        <w:rPr>
          <w:sz w:val="22"/>
          <w:szCs w:val="22"/>
        </w:rPr>
        <w:t>Наименование ЭП, посредством которой проводится закупка, указано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До подачи заявки Участник обязан ознакомиться с Регламентом ЭП, опубликованными на сайте соответствующей ЭП.</w:t>
      </w:r>
    </w:p>
    <w:p>
      <w:pPr>
        <w:pStyle w:val="Style27"/>
        <w:rPr>
          <w:rFonts w:ascii="Times New Roman" w:hAnsi="Times New Roman"/>
          <w:sz w:val="22"/>
          <w:szCs w:val="22"/>
        </w:rPr>
      </w:pPr>
      <w:r>
        <w:rPr>
          <w:sz w:val="22"/>
          <w:szCs w:val="22"/>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27"/>
        <w:rPr>
          <w:rFonts w:ascii="Times New Roman" w:hAnsi="Times New Roman"/>
          <w:sz w:val="22"/>
          <w:szCs w:val="22"/>
        </w:rPr>
      </w:pPr>
      <w:bookmarkStart w:id="69" w:name="_Ref135748672"/>
      <w:r>
        <w:rPr>
          <w:sz w:val="22"/>
          <w:szCs w:val="22"/>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69"/>
    </w:p>
    <w:p>
      <w:pPr>
        <w:pStyle w:val="Style27"/>
        <w:rPr>
          <w:rFonts w:ascii="Times New Roman" w:hAnsi="Times New Roman"/>
          <w:sz w:val="22"/>
          <w:szCs w:val="22"/>
        </w:rPr>
      </w:pPr>
      <w:bookmarkStart w:id="70" w:name="_Ref135748741"/>
      <w:r>
        <w:rPr>
          <w:sz w:val="22"/>
          <w:szCs w:val="22"/>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0"/>
    </w:p>
    <w:p>
      <w:pPr>
        <w:pStyle w:val="Style26"/>
        <w:rPr>
          <w:rFonts w:ascii="Times New Roman" w:hAnsi="Times New Roman"/>
          <w:sz w:val="22"/>
          <w:szCs w:val="22"/>
        </w:rPr>
      </w:pPr>
      <w:bookmarkStart w:id="71" w:name="_Toc230928835"/>
      <w:r>
        <w:rPr>
          <w:sz w:val="22"/>
          <w:szCs w:val="22"/>
        </w:rPr>
        <w:t>Прочие положения</w:t>
      </w:r>
      <w:bookmarkEnd w:id="71"/>
    </w:p>
    <w:p>
      <w:pPr>
        <w:pStyle w:val="Style27"/>
        <w:rPr>
          <w:rFonts w:ascii="Times New Roman" w:hAnsi="Times New Roman"/>
          <w:sz w:val="22"/>
          <w:szCs w:val="22"/>
        </w:rPr>
      </w:pPr>
      <w:r>
        <w:rPr>
          <w:sz w:val="22"/>
          <w:szCs w:val="22"/>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7"/>
        <w:rPr>
          <w:rFonts w:ascii="Times New Roman" w:hAnsi="Times New Roman"/>
          <w:sz w:val="22"/>
          <w:szCs w:val="22"/>
        </w:rPr>
      </w:pPr>
      <w:bookmarkStart w:id="72" w:name="_Ref136257236"/>
      <w:r>
        <w:rPr>
          <w:sz w:val="22"/>
          <w:szCs w:val="22"/>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2"/>
    </w:p>
    <w:p>
      <w:pPr>
        <w:pStyle w:val="Style27"/>
        <w:rPr>
          <w:rFonts w:ascii="Times New Roman" w:hAnsi="Times New Roman"/>
          <w:sz w:val="22"/>
          <w:szCs w:val="22"/>
        </w:rPr>
      </w:pPr>
      <w:r>
        <w:rPr>
          <w:sz w:val="22"/>
          <w:szCs w:val="22"/>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5"/>
        <w:rPr>
          <w:rFonts w:ascii="Times New Roman" w:hAnsi="Times New Roman"/>
          <w:sz w:val="22"/>
          <w:szCs w:val="22"/>
        </w:rPr>
      </w:pPr>
      <w:bookmarkStart w:id="73" w:name="_Ref125361210"/>
      <w:bookmarkStart w:id="74" w:name="_Toc230928836"/>
      <w:r>
        <w:rPr>
          <w:sz w:val="22"/>
          <w:szCs w:val="22"/>
        </w:rPr>
        <w:t>Требования к Участникам</w:t>
      </w:r>
      <w:bookmarkEnd w:id="73"/>
      <w:bookmarkEnd w:id="74"/>
    </w:p>
    <w:p>
      <w:pPr>
        <w:pStyle w:val="Style26"/>
        <w:rPr>
          <w:rFonts w:ascii="Times New Roman" w:hAnsi="Times New Roman"/>
          <w:sz w:val="22"/>
          <w:szCs w:val="22"/>
        </w:rPr>
      </w:pPr>
      <w:bookmarkStart w:id="75" w:name="_Ref127524530"/>
      <w:bookmarkStart w:id="76" w:name="_Toc230928837"/>
      <w:r>
        <w:rPr>
          <w:sz w:val="22"/>
          <w:szCs w:val="22"/>
        </w:rPr>
        <w:t>Общие требования к Участникам</w:t>
      </w:r>
      <w:bookmarkEnd w:id="75"/>
      <w:bookmarkEnd w:id="76"/>
    </w:p>
    <w:p>
      <w:pPr>
        <w:pStyle w:val="Style27"/>
        <w:rPr>
          <w:rFonts w:ascii="Times New Roman" w:hAnsi="Times New Roman"/>
          <w:sz w:val="22"/>
          <w:szCs w:val="22"/>
        </w:rPr>
      </w:pPr>
      <w:bookmarkStart w:id="77" w:name="_Ref125361514"/>
      <w:r>
        <w:rPr>
          <w:sz w:val="22"/>
          <w:szCs w:val="22"/>
        </w:rPr>
        <w:t>Из лиц,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77"/>
    </w:p>
    <w:p>
      <w:pPr>
        <w:pStyle w:val="Style27"/>
        <w:rPr>
          <w:rFonts w:ascii="Times New Roman" w:hAnsi="Times New Roman"/>
          <w:sz w:val="22"/>
          <w:szCs w:val="22"/>
        </w:rPr>
      </w:pPr>
      <w:r>
        <w:rPr>
          <w:sz w:val="22"/>
          <w:szCs w:val="22"/>
        </w:rPr>
        <w:t>Однако, чтобы претендовать на победу в закупке Участник самостоятельно или Коллективный участник (подраздел </w:t>
      </w:r>
      <w:r>
        <w:rPr>
          <w:sz w:val="22"/>
          <w:szCs w:val="22"/>
        </w:rPr>
        <w:fldChar w:fldCharType="begin"/>
      </w:r>
      <w:r>
        <w:rPr>
          <w:sz w:val="22"/>
          <w:szCs w:val="22"/>
        </w:rPr>
        <w:instrText xml:space="preserve"> REF _Ref130308062 \r \h </w:instrText>
      </w:r>
      <w:r>
        <w:rPr>
          <w:sz w:val="22"/>
          <w:szCs w:val="22"/>
        </w:rPr>
        <w:fldChar w:fldCharType="separate"/>
      </w:r>
      <w:r>
        <w:rPr>
          <w:sz w:val="22"/>
          <w:szCs w:val="22"/>
        </w:rPr>
        <w:t>3.2</w:t>
      </w:r>
      <w:r>
        <w:rPr>
          <w:sz w:val="22"/>
          <w:szCs w:val="22"/>
        </w:rPr>
        <w:fldChar w:fldCharType="end"/>
      </w:r>
      <w:r>
        <w:rPr>
          <w:sz w:val="22"/>
          <w:szCs w:val="22"/>
        </w:rPr>
        <w:t>) в целом должен отвечать требованиям, установленным в Документации о закупке.</w:t>
      </w:r>
    </w:p>
    <w:p>
      <w:pPr>
        <w:pStyle w:val="Style27"/>
        <w:rPr/>
      </w:pPr>
      <w:r>
        <w:rPr>
          <w:sz w:val="22"/>
          <w:szCs w:val="22"/>
        </w:rPr>
        <w:t xml:space="preserve">Требования к Участникам установлены с учетом предмета договора, </w:t>
      </w:r>
      <w:hyperlink w:anchor="Прил01_ТехТребования">
        <w:r>
          <w:rPr>
            <w:rStyle w:val="Style14"/>
            <w:sz w:val="22"/>
            <w:szCs w:val="22"/>
          </w:rPr>
          <w:t>Технических требований (Приложение № 1)</w:t>
        </w:r>
      </w:hyperlink>
      <w:r>
        <w:rPr>
          <w:sz w:val="22"/>
          <w:szCs w:val="22"/>
        </w:rPr>
        <w:t xml:space="preserve"> и </w:t>
      </w:r>
      <w:hyperlink w:anchor="Прил02_ПроектДоговора">
        <w:r>
          <w:rPr>
            <w:rStyle w:val="Style14"/>
            <w:sz w:val="22"/>
            <w:szCs w:val="22"/>
          </w:rPr>
          <w:t>Проекта договора (Приложение № 2)</w:t>
        </w:r>
      </w:hyperlink>
      <w:r>
        <w:rPr>
          <w:sz w:val="22"/>
          <w:szCs w:val="22"/>
        </w:rPr>
        <w:t>. 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4"/>
            <w:sz w:val="22"/>
            <w:szCs w:val="22"/>
          </w:rPr>
          <w:t>Приложение № 4</w:t>
        </w:r>
      </w:hyperlink>
      <w:r>
        <w:rPr>
          <w:sz w:val="22"/>
          <w:szCs w:val="22"/>
        </w:rPr>
        <w:t>)).</w:t>
      </w:r>
    </w:p>
    <w:p>
      <w:pPr>
        <w:pStyle w:val="Style27"/>
        <w:keepNext w:val="true"/>
        <w:rPr/>
      </w:pPr>
      <w:r>
        <w:rPr>
          <w:sz w:val="22"/>
          <w:szCs w:val="22"/>
        </w:rPr>
        <w:t>Установлены следующие требования к Участникам, которые приведены в </w:t>
      </w:r>
      <w:hyperlink w:anchor="Прил03_ТребованияУчастникам">
        <w:r>
          <w:rPr>
            <w:rStyle w:val="Style14"/>
            <w:sz w:val="22"/>
            <w:szCs w:val="22"/>
          </w:rPr>
          <w:t>Приложении № 3</w:t>
        </w:r>
      </w:hyperlink>
      <w:r>
        <w:rPr>
          <w:sz w:val="22"/>
          <w:szCs w:val="22"/>
        </w:rPr>
        <w:t>:</w:t>
      </w:r>
    </w:p>
    <w:p>
      <w:pPr>
        <w:pStyle w:val="Style28"/>
        <w:rPr>
          <w:rFonts w:ascii="Times New Roman" w:hAnsi="Times New Roman"/>
          <w:sz w:val="22"/>
          <w:szCs w:val="22"/>
        </w:rPr>
      </w:pPr>
      <w:r>
        <w:rPr>
          <w:sz w:val="22"/>
          <w:szCs w:val="22"/>
        </w:rPr>
        <w:t>обязательные требования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 – Участники должны им соответствовать;</w:t>
      </w:r>
    </w:p>
    <w:p>
      <w:pPr>
        <w:pStyle w:val="Style28"/>
        <w:rPr>
          <w:rFonts w:ascii="Times New Roman" w:hAnsi="Times New Roman"/>
          <w:sz w:val="22"/>
          <w:szCs w:val="22"/>
        </w:rPr>
      </w:pPr>
      <w:r>
        <w:rPr>
          <w:sz w:val="22"/>
          <w:szCs w:val="22"/>
        </w:rPr>
        <w:t>специальные требования – Участники должны им соответствовать, если они установлены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w:t>
      </w:r>
    </w:p>
    <w:p>
      <w:pPr>
        <w:pStyle w:val="Style28"/>
        <w:rPr>
          <w:rFonts w:ascii="Times New Roman" w:hAnsi="Times New Roman"/>
          <w:sz w:val="22"/>
          <w:szCs w:val="22"/>
        </w:rPr>
      </w:pPr>
      <w:r>
        <w:rPr>
          <w:sz w:val="22"/>
          <w:szCs w:val="22"/>
        </w:rPr>
        <w:t>квалификационные требования – Участники должны им соответствовать, если они установлены (подраздел </w:t>
      </w:r>
      <w:r>
        <w:rPr>
          <w:sz w:val="22"/>
          <w:szCs w:val="22"/>
        </w:rPr>
        <w:fldChar w:fldCharType="begin"/>
      </w:r>
      <w:r>
        <w:rPr>
          <w:sz w:val="22"/>
          <w:szCs w:val="22"/>
        </w:rPr>
        <w:instrText xml:space="preserve"> REF _Ref125709154 \r \h </w:instrText>
      </w:r>
      <w:r>
        <w:rPr>
          <w:sz w:val="22"/>
          <w:szCs w:val="22"/>
        </w:rPr>
        <w:fldChar w:fldCharType="separate"/>
      </w:r>
      <w:r>
        <w:rPr>
          <w:sz w:val="22"/>
          <w:szCs w:val="22"/>
        </w:rPr>
        <w:t>8.4</w:t>
      </w:r>
      <w:r>
        <w:rPr>
          <w:sz w:val="22"/>
          <w:szCs w:val="22"/>
        </w:rPr>
        <w:fldChar w:fldCharType="end"/>
      </w:r>
      <w:r>
        <w:rPr>
          <w:sz w:val="22"/>
          <w:szCs w:val="22"/>
        </w:rPr>
        <w:t>).</w:t>
      </w:r>
    </w:p>
    <w:p>
      <w:pPr>
        <w:pStyle w:val="Style27"/>
        <w:keepNext w:val="true"/>
        <w:rPr>
          <w:rFonts w:ascii="Times New Roman" w:hAnsi="Times New Roman"/>
          <w:sz w:val="22"/>
          <w:szCs w:val="22"/>
        </w:rPr>
      </w:pPr>
      <w:r>
        <w:rPr>
          <w:sz w:val="22"/>
          <w:szCs w:val="22"/>
        </w:rPr>
        <w:t>В рамках требований к Участникам могут быть установлены дополнительные требования:</w:t>
      </w:r>
    </w:p>
    <w:p>
      <w:pPr>
        <w:pStyle w:val="Style28"/>
        <w:rPr>
          <w:rFonts w:ascii="Times New Roman" w:hAnsi="Times New Roman"/>
          <w:sz w:val="22"/>
          <w:szCs w:val="22"/>
        </w:rPr>
      </w:pPr>
      <w:r>
        <w:rPr>
          <w:sz w:val="22"/>
          <w:szCs w:val="22"/>
        </w:rPr>
        <w:t>к Коллективным участникам (подраздел </w:t>
      </w:r>
      <w:r>
        <w:rPr>
          <w:sz w:val="22"/>
          <w:szCs w:val="22"/>
        </w:rPr>
        <w:fldChar w:fldCharType="begin"/>
      </w:r>
      <w:r>
        <w:rPr>
          <w:sz w:val="22"/>
          <w:szCs w:val="22"/>
        </w:rPr>
        <w:instrText xml:space="preserve"> REF _Ref130308111 \r \h </w:instrText>
      </w:r>
      <w:r>
        <w:rPr>
          <w:sz w:val="22"/>
          <w:szCs w:val="22"/>
        </w:rPr>
        <w:fldChar w:fldCharType="separate"/>
      </w:r>
      <w:r>
        <w:rPr>
          <w:sz w:val="22"/>
          <w:szCs w:val="22"/>
        </w:rPr>
        <w:t>3.2</w:t>
      </w:r>
      <w:r>
        <w:rPr>
          <w:sz w:val="22"/>
          <w:szCs w:val="22"/>
        </w:rPr>
        <w:fldChar w:fldCharType="end"/>
      </w:r>
      <w:r>
        <w:rPr>
          <w:sz w:val="22"/>
          <w:szCs w:val="22"/>
        </w:rPr>
        <w:t>);</w:t>
      </w:r>
    </w:p>
    <w:p>
      <w:pPr>
        <w:pStyle w:val="Style28"/>
        <w:rPr>
          <w:rFonts w:ascii="Times New Roman" w:hAnsi="Times New Roman"/>
          <w:sz w:val="22"/>
          <w:szCs w:val="22"/>
        </w:rPr>
      </w:pPr>
      <w:r>
        <w:rPr>
          <w:sz w:val="22"/>
          <w:szCs w:val="22"/>
        </w:rPr>
        <w:t>к Генеральным подрядчикам (подраздел </w:t>
      </w:r>
      <w:r>
        <w:rPr>
          <w:sz w:val="22"/>
          <w:szCs w:val="22"/>
        </w:rPr>
        <w:fldChar w:fldCharType="begin"/>
      </w:r>
      <w:r>
        <w:rPr>
          <w:sz w:val="22"/>
          <w:szCs w:val="22"/>
        </w:rPr>
        <w:instrText xml:space="preserve"> REF _Ref125361702 \r \h </w:instrText>
      </w:r>
      <w:r>
        <w:rPr>
          <w:sz w:val="22"/>
          <w:szCs w:val="22"/>
        </w:rPr>
        <w:fldChar w:fldCharType="separate"/>
      </w:r>
      <w:r>
        <w:rPr>
          <w:sz w:val="22"/>
          <w:szCs w:val="22"/>
        </w:rPr>
        <w:t>3.3</w:t>
      </w:r>
      <w:r>
        <w:rPr>
          <w:sz w:val="22"/>
          <w:szCs w:val="22"/>
        </w:rPr>
        <w:fldChar w:fldCharType="end"/>
      </w:r>
      <w:r>
        <w:rPr>
          <w:sz w:val="22"/>
          <w:szCs w:val="22"/>
        </w:rPr>
        <w:t>);</w:t>
      </w:r>
    </w:p>
    <w:p>
      <w:pPr>
        <w:pStyle w:val="Style28"/>
        <w:rPr>
          <w:rFonts w:ascii="Times New Roman" w:hAnsi="Times New Roman"/>
          <w:sz w:val="22"/>
          <w:szCs w:val="22"/>
        </w:rPr>
      </w:pPr>
      <w:r>
        <w:rPr>
          <w:sz w:val="22"/>
          <w:szCs w:val="22"/>
        </w:rPr>
        <w:t>к привлечению субподрядчиков (соисполнителей) из числа субъектов МСП (подраздел </w:t>
      </w:r>
      <w:r>
        <w:rPr>
          <w:sz w:val="22"/>
          <w:szCs w:val="22"/>
        </w:rPr>
        <w:fldChar w:fldCharType="begin"/>
      </w:r>
      <w:r>
        <w:rPr>
          <w:sz w:val="22"/>
          <w:szCs w:val="22"/>
        </w:rPr>
        <w:instrText xml:space="preserve"> REF _Ref127524203 \r \h </w:instrText>
      </w:r>
      <w:r>
        <w:rPr>
          <w:sz w:val="22"/>
          <w:szCs w:val="22"/>
        </w:rPr>
        <w:fldChar w:fldCharType="separate"/>
      </w:r>
      <w:r>
        <w:rPr>
          <w:sz w:val="22"/>
          <w:szCs w:val="22"/>
        </w:rPr>
        <w:t>3.4</w:t>
      </w:r>
      <w:r>
        <w:rPr>
          <w:sz w:val="22"/>
          <w:szCs w:val="22"/>
        </w:rPr>
        <w:fldChar w:fldCharType="end"/>
      </w:r>
      <w:r>
        <w:rPr>
          <w:sz w:val="22"/>
          <w:szCs w:val="22"/>
        </w:rPr>
        <w:t>).</w:t>
      </w:r>
    </w:p>
    <w:p>
      <w:pPr>
        <w:pStyle w:val="Style27"/>
        <w:rPr/>
      </w:pPr>
      <w:r>
        <w:rPr>
          <w:sz w:val="22"/>
          <w:szCs w:val="22"/>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4"/>
            <w:sz w:val="22"/>
            <w:szCs w:val="22"/>
          </w:rPr>
          <w:t>Требованиях к Участникам (Приложение № 3)</w:t>
        </w:r>
      </w:hyperlink>
      <w:r>
        <w:rPr>
          <w:sz w:val="22"/>
          <w:szCs w:val="22"/>
        </w:rPr>
        <w:t>, если иное не установлено в Документации о закупке.</w:t>
      </w:r>
    </w:p>
    <w:p>
      <w:pPr>
        <w:pStyle w:val="Style26"/>
        <w:rPr>
          <w:rFonts w:ascii="Times New Roman" w:hAnsi="Times New Roman"/>
          <w:sz w:val="22"/>
          <w:szCs w:val="22"/>
        </w:rPr>
      </w:pPr>
      <w:bookmarkStart w:id="78" w:name="_Ref130305355"/>
      <w:bookmarkStart w:id="79" w:name="_Ref130308062"/>
      <w:bookmarkStart w:id="80" w:name="_Ref130308111"/>
      <w:bookmarkStart w:id="81" w:name="_Ref130308203"/>
      <w:bookmarkStart w:id="82" w:name="_Ref130308255"/>
      <w:bookmarkStart w:id="83" w:name="_Toc230928838"/>
      <w:bookmarkStart w:id="84" w:name="_Ref125361969"/>
      <w:bookmarkStart w:id="85" w:name="_Ref125361976"/>
      <w:r>
        <w:rPr>
          <w:sz w:val="22"/>
          <w:szCs w:val="22"/>
        </w:rPr>
        <w:t>Коллективные участники</w:t>
      </w:r>
      <w:bookmarkEnd w:id="78"/>
      <w:bookmarkEnd w:id="79"/>
      <w:bookmarkEnd w:id="80"/>
      <w:bookmarkEnd w:id="81"/>
      <w:bookmarkEnd w:id="82"/>
      <w:bookmarkEnd w:id="83"/>
      <w:bookmarkEnd w:id="84"/>
      <w:bookmarkEnd w:id="85"/>
    </w:p>
    <w:p>
      <w:pPr>
        <w:pStyle w:val="Style27"/>
        <w:rPr>
          <w:rFonts w:ascii="Times New Roman" w:hAnsi="Times New Roman"/>
          <w:sz w:val="22"/>
          <w:szCs w:val="22"/>
        </w:rPr>
      </w:pPr>
      <w:r>
        <w:rPr>
          <w:sz w:val="22"/>
          <w:szCs w:val="22"/>
        </w:rPr>
        <w:t>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p>
    <w:p>
      <w:pPr>
        <w:pStyle w:val="Style27"/>
        <w:rPr/>
      </w:pPr>
      <w:r>
        <w:rPr>
          <w:sz w:val="22"/>
          <w:szCs w:val="22"/>
        </w:rPr>
        <w:t>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rPr>
          <w:sz w:val="22"/>
          <w:szCs w:val="22"/>
        </w:rPr>
        <w:fldChar w:fldCharType="begin"/>
      </w:r>
      <w:r>
        <w:rPr>
          <w:sz w:val="22"/>
          <w:szCs w:val="22"/>
        </w:rPr>
        <w:instrText xml:space="preserve"> REF _Ref125552455 \r \h </w:instrText>
      </w:r>
      <w:r>
        <w:rPr>
          <w:sz w:val="22"/>
          <w:szCs w:val="22"/>
        </w:rPr>
        <w:fldChar w:fldCharType="separate"/>
      </w:r>
      <w:r>
        <w:rPr>
          <w:sz w:val="22"/>
          <w:szCs w:val="22"/>
        </w:rPr>
        <w:t>8.5</w:t>
      </w:r>
      <w:r>
        <w:rPr>
          <w:sz w:val="22"/>
          <w:szCs w:val="22"/>
        </w:rPr>
        <w:fldChar w:fldCharType="end"/>
      </w:r>
      <w:r>
        <w:rPr>
          <w:sz w:val="22"/>
          <w:szCs w:val="22"/>
        </w:rPr>
        <w:t xml:space="preserve"> </w:t>
      </w:r>
      <w:hyperlink w:anchor="Прил03_ТребованияУчастникам">
        <w:r>
          <w:rPr>
            <w:rStyle w:val="Style14"/>
            <w:sz w:val="22"/>
            <w:szCs w:val="22"/>
          </w:rPr>
          <w:t>Требований к Участникам (Приложение № 3)</w:t>
        </w:r>
      </w:hyperlink>
      <w:r>
        <w:rPr>
          <w:sz w:val="22"/>
          <w:szCs w:val="22"/>
        </w:rPr>
        <w:t>.</w:t>
      </w:r>
    </w:p>
    <w:p>
      <w:pPr>
        <w:pStyle w:val="Style27"/>
        <w:keepNext w:val="true"/>
        <w:rPr>
          <w:rFonts w:ascii="Times New Roman" w:hAnsi="Times New Roman"/>
          <w:sz w:val="22"/>
          <w:szCs w:val="22"/>
        </w:rPr>
      </w:pPr>
      <w:bookmarkStart w:id="86" w:name="_Ref125366972"/>
      <w:r>
        <w:rPr>
          <w:sz w:val="22"/>
          <w:szCs w:val="22"/>
        </w:rPr>
        <w:t>Члены Коллективного участника заключают между собой соглашение, соответствующее нормам ГК РФ, и отвечающее следующим требованиям:</w:t>
      </w:r>
      <w:bookmarkEnd w:id="86"/>
    </w:p>
    <w:p>
      <w:pPr>
        <w:pStyle w:val="Style28"/>
        <w:rPr>
          <w:rFonts w:ascii="Times New Roman" w:hAnsi="Times New Roman"/>
          <w:sz w:val="22"/>
          <w:szCs w:val="22"/>
        </w:rPr>
      </w:pPr>
      <w:r>
        <w:rPr>
          <w:sz w:val="22"/>
          <w:szCs w:val="22"/>
        </w:rPr>
        <w:t>в соглашении должны быть определены права и обязанности сторон как в рамках участия в закупке, так и в рамках исполнения Договора;</w:t>
      </w:r>
    </w:p>
    <w:p>
      <w:pPr>
        <w:pStyle w:val="Style28"/>
        <w:rPr>
          <w:rFonts w:ascii="Times New Roman" w:hAnsi="Times New Roman"/>
          <w:sz w:val="22"/>
          <w:szCs w:val="22"/>
        </w:rPr>
      </w:pPr>
      <w:r>
        <w:rPr>
          <w:sz w:val="22"/>
          <w:szCs w:val="22"/>
        </w:rPr>
        <w:t>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p>
    <w:p>
      <w:pPr>
        <w:pStyle w:val="Style28"/>
        <w:rPr>
          <w:rFonts w:ascii="Times New Roman" w:hAnsi="Times New Roman"/>
          <w:sz w:val="22"/>
          <w:szCs w:val="22"/>
        </w:rPr>
      </w:pPr>
      <w:r>
        <w:rPr>
          <w:sz w:val="22"/>
          <w:szCs w:val="22"/>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в процессе участия в закупке, заключения и последующего исполнения Договора;</w:t>
      </w:r>
    </w:p>
    <w:p>
      <w:pPr>
        <w:pStyle w:val="Style28"/>
        <w:rPr>
          <w:rFonts w:ascii="Times New Roman" w:hAnsi="Times New Roman"/>
          <w:sz w:val="22"/>
          <w:szCs w:val="22"/>
        </w:rPr>
      </w:pPr>
      <w:r>
        <w:rPr>
          <w:sz w:val="22"/>
          <w:szCs w:val="22"/>
        </w:rPr>
        <w:t>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pPr>
        <w:pStyle w:val="Style28"/>
        <w:rPr>
          <w:rFonts w:ascii="Times New Roman" w:hAnsi="Times New Roman"/>
          <w:sz w:val="22"/>
          <w:szCs w:val="22"/>
        </w:rPr>
      </w:pPr>
      <w:r>
        <w:rPr>
          <w:sz w:val="22"/>
          <w:szCs w:val="22"/>
        </w:rPr>
        <w:t>срок действия соглашения должен быть не менее срока исполнения обязательств Участника по Договору, предлагаемого в составе заявки;</w:t>
      </w:r>
    </w:p>
    <w:p>
      <w:pPr>
        <w:pStyle w:val="Style28"/>
        <w:rPr>
          <w:rFonts w:ascii="Times New Roman" w:hAnsi="Times New Roman"/>
          <w:sz w:val="22"/>
          <w:szCs w:val="22"/>
        </w:rPr>
      </w:pPr>
      <w:r>
        <w:rPr>
          <w:sz w:val="22"/>
          <w:szCs w:val="22"/>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pPr>
        <w:pStyle w:val="Style27"/>
        <w:rPr/>
      </w:pPr>
      <w:r>
        <w:rPr>
          <w:sz w:val="22"/>
          <w:szCs w:val="22"/>
        </w:rPr>
        <w:t>Заявка подготавливается и подается лидером от своего имени со ссылкой в Письме о подаче оферты (форма 2) (</w:t>
      </w:r>
      <w:hyperlink w:anchor="Прил04_ФормыЗаявки">
        <w:r>
          <w:rPr>
            <w:rStyle w:val="Style14"/>
            <w:sz w:val="22"/>
            <w:szCs w:val="22"/>
          </w:rPr>
          <w:t>Приложение № 4</w:t>
        </w:r>
      </w:hyperlink>
      <w:r>
        <w:rPr>
          <w:sz w:val="22"/>
          <w:szCs w:val="22"/>
        </w:rPr>
        <w:t>) на то, что он представляет интересы Коллективного участника.</w:t>
      </w:r>
    </w:p>
    <w:p>
      <w:pPr>
        <w:pStyle w:val="Style27"/>
        <w:rPr>
          <w:rFonts w:ascii="Times New Roman" w:hAnsi="Times New Roman"/>
          <w:sz w:val="22"/>
          <w:szCs w:val="22"/>
        </w:rPr>
      </w:pPr>
      <w:bookmarkStart w:id="87" w:name="_Ref125368791"/>
      <w:r>
        <w:rPr>
          <w:sz w:val="22"/>
          <w:szCs w:val="22"/>
        </w:rPr>
        <w:t>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w:t>
      </w:r>
      <w:bookmarkEnd w:id="87"/>
    </w:p>
    <w:p>
      <w:pPr>
        <w:pStyle w:val="Style27"/>
        <w:rPr/>
      </w:pPr>
      <w:r>
        <w:rPr>
          <w:sz w:val="22"/>
          <w:szCs w:val="22"/>
        </w:rPr>
        <w:t>При рассмотрении и оценке Коллективного участника на соответствие специальным требованиям к Участникам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 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10) (</w:t>
      </w:r>
      <w:hyperlink w:anchor="Прил04_ФормыЗаявки">
        <w:r>
          <w:rPr>
            <w:rStyle w:val="Style14"/>
            <w:sz w:val="22"/>
            <w:szCs w:val="22"/>
          </w:rPr>
          <w:t>Приложение № 4</w:t>
        </w:r>
      </w:hyperlink>
      <w:r>
        <w:rPr>
          <w:sz w:val="22"/>
          <w:szCs w:val="22"/>
        </w:rPr>
        <w:t>) будет поручена непосредственная поставка продукции, требующая наличия 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p>
    <w:p>
      <w:pPr>
        <w:pStyle w:val="Style27"/>
        <w:rPr/>
      </w:pPr>
      <w:bookmarkStart w:id="88" w:name="_Ref134705077"/>
      <w:r>
        <w:rPr>
          <w:sz w:val="22"/>
          <w:szCs w:val="22"/>
        </w:rPr>
        <w:t>При рассмотрении и оценке Коллективного участника на соответствие квалификационным требованиям (подраздел </w:t>
      </w:r>
      <w:r>
        <w:rPr>
          <w:sz w:val="22"/>
          <w:szCs w:val="22"/>
        </w:rPr>
        <w:fldChar w:fldCharType="begin"/>
      </w:r>
      <w:r>
        <w:rPr>
          <w:sz w:val="22"/>
          <w:szCs w:val="22"/>
        </w:rPr>
        <w:instrText xml:space="preserve"> REF _Ref125550270 \r \h </w:instrText>
      </w:r>
      <w:r>
        <w:rPr>
          <w:sz w:val="22"/>
          <w:szCs w:val="22"/>
        </w:rPr>
        <w:fldChar w:fldCharType="separate"/>
      </w:r>
      <w:r>
        <w:rPr>
          <w:sz w:val="22"/>
          <w:szCs w:val="22"/>
        </w:rPr>
        <w:t>8.4</w:t>
      </w:r>
      <w:r>
        <w:rPr>
          <w:sz w:val="22"/>
          <w:szCs w:val="22"/>
        </w:rPr>
        <w:fldChar w:fldCharType="end"/>
      </w:r>
      <w:r>
        <w:rPr>
          <w:sz w:val="22"/>
          <w:szCs w:val="22"/>
        </w:rPr>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r>
          <w:rPr>
            <w:rStyle w:val="Style14"/>
            <w:sz w:val="22"/>
            <w:szCs w:val="22"/>
          </w:rPr>
          <w:t>Приложение № 4</w:t>
        </w:r>
      </w:hyperlink>
      <w:r>
        <w:rPr>
          <w:sz w:val="22"/>
          <w:szCs w:val="22"/>
        </w:rPr>
        <w:t>) будет поручена непосредственная поставка продукции, требующая наличия указанного опыта.</w:t>
      </w:r>
      <w:bookmarkEnd w:id="88"/>
    </w:p>
    <w:p>
      <w:pPr>
        <w:pStyle w:val="Style27"/>
        <w:keepNext w:val="true"/>
        <w:rPr>
          <w:rFonts w:ascii="Times New Roman" w:hAnsi="Times New Roman"/>
          <w:sz w:val="22"/>
          <w:szCs w:val="22"/>
        </w:rPr>
      </w:pPr>
      <w:bookmarkStart w:id="89" w:name="_Ref125361726"/>
      <w:r>
        <w:rPr>
          <w:sz w:val="22"/>
          <w:szCs w:val="22"/>
        </w:rP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89"/>
    </w:p>
    <w:p>
      <w:pPr>
        <w:pStyle w:val="Style28"/>
        <w:rPr>
          <w:rFonts w:ascii="Times New Roman" w:hAnsi="Times New Roman"/>
          <w:sz w:val="22"/>
          <w:szCs w:val="22"/>
        </w:rPr>
      </w:pPr>
      <w:r>
        <w:rPr>
          <w:sz w:val="22"/>
          <w:szCs w:val="22"/>
        </w:rPr>
        <w:t>принимать участие в этой же закупке самостоятельно;</w:t>
      </w:r>
    </w:p>
    <w:p>
      <w:pPr>
        <w:pStyle w:val="Style28"/>
        <w:rPr>
          <w:rFonts w:ascii="Times New Roman" w:hAnsi="Times New Roman"/>
          <w:sz w:val="22"/>
          <w:szCs w:val="22"/>
        </w:rPr>
      </w:pPr>
      <w:r>
        <w:rPr>
          <w:sz w:val="22"/>
          <w:szCs w:val="22"/>
        </w:rPr>
        <w:t>принимать участие в этой же закупке в качестве Генерального подрядчика или субподрядчика (подраздел </w:t>
      </w:r>
      <w:r>
        <w:rPr>
          <w:sz w:val="22"/>
          <w:szCs w:val="22"/>
        </w:rPr>
        <w:fldChar w:fldCharType="begin"/>
      </w:r>
      <w:r>
        <w:rPr>
          <w:sz w:val="22"/>
          <w:szCs w:val="22"/>
        </w:rPr>
        <w:instrText xml:space="preserve"> REF _Ref125361702 \r \h </w:instrText>
      </w:r>
      <w:r>
        <w:rPr>
          <w:sz w:val="22"/>
          <w:szCs w:val="22"/>
        </w:rPr>
        <w:fldChar w:fldCharType="separate"/>
      </w:r>
      <w:r>
        <w:rPr>
          <w:sz w:val="22"/>
          <w:szCs w:val="22"/>
        </w:rPr>
        <w:t>3.3</w:t>
      </w:r>
      <w:r>
        <w:rPr>
          <w:sz w:val="22"/>
          <w:szCs w:val="22"/>
        </w:rPr>
        <w:fldChar w:fldCharType="end"/>
      </w:r>
      <w:r>
        <w:rPr>
          <w:sz w:val="22"/>
          <w:szCs w:val="22"/>
        </w:rPr>
        <w:t>).</w:t>
      </w:r>
    </w:p>
    <w:p>
      <w:pPr>
        <w:pStyle w:val="Style31"/>
        <w:ind w:left="1134"/>
        <w:rPr>
          <w:rFonts w:ascii="Times New Roman" w:hAnsi="Times New Roman"/>
          <w:sz w:val="22"/>
          <w:szCs w:val="22"/>
        </w:rPr>
      </w:pPr>
      <w:r>
        <w:rPr>
          <w:sz w:val="22"/>
          <w:szCs w:val="22"/>
        </w:rPr>
        <w:t>В случае невыполнения данного требования все заявки с участием таких лиц будут отклонены.</w:t>
      </w:r>
    </w:p>
    <w:p>
      <w:pPr>
        <w:pStyle w:val="Style27"/>
        <w:rPr/>
      </w:pPr>
      <w:r>
        <w:rPr>
          <w:sz w:val="22"/>
          <w:szCs w:val="22"/>
        </w:rP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r>
          <w:rPr>
            <w:rStyle w:val="Style14"/>
            <w:sz w:val="22"/>
            <w:szCs w:val="22"/>
          </w:rPr>
          <w:t>Приложение № 3</w:t>
        </w:r>
      </w:hyperlink>
      <w:r>
        <w:rPr>
          <w:rStyle w:val="Style14"/>
          <w:sz w:val="22"/>
          <w:szCs w:val="22"/>
        </w:rPr>
        <w:t>)</w:t>
      </w:r>
      <w:r>
        <w:rPr>
          <w:sz w:val="22"/>
          <w:szCs w:val="22"/>
        </w:rPr>
        <w:t>, а также при несоблюдении вышеуказанных норм настоящего подраздела, заявка такого Коллективного участника отклоняется.</w:t>
      </w:r>
    </w:p>
    <w:p>
      <w:pPr>
        <w:pStyle w:val="Style27"/>
        <w:rPr>
          <w:rFonts w:ascii="Times New Roman" w:hAnsi="Times New Roman"/>
          <w:sz w:val="22"/>
          <w:szCs w:val="22"/>
        </w:rPr>
      </w:pPr>
      <w:r>
        <w:rPr>
          <w:sz w:val="22"/>
          <w:szCs w:val="22"/>
        </w:rP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pPr>
        <w:pStyle w:val="Style27"/>
        <w:rPr>
          <w:rFonts w:ascii="Times New Roman" w:hAnsi="Times New Roman"/>
          <w:sz w:val="22"/>
          <w:szCs w:val="22"/>
        </w:rPr>
      </w:pPr>
      <w:r>
        <w:rPr>
          <w:sz w:val="22"/>
          <w:szCs w:val="22"/>
        </w:rP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pPr>
        <w:pStyle w:val="Style26"/>
        <w:rPr>
          <w:rFonts w:ascii="Times New Roman" w:hAnsi="Times New Roman"/>
          <w:sz w:val="22"/>
          <w:szCs w:val="22"/>
        </w:rPr>
      </w:pPr>
      <w:bookmarkStart w:id="90" w:name="_Ref125361702"/>
      <w:bookmarkStart w:id="91" w:name="_Toc230928839"/>
      <w:r>
        <w:rPr>
          <w:sz w:val="22"/>
          <w:szCs w:val="22"/>
        </w:rPr>
        <w:t>Генеральные подрядчики</w:t>
      </w:r>
      <w:bookmarkEnd w:id="90"/>
      <w:bookmarkEnd w:id="91"/>
    </w:p>
    <w:p>
      <w:pPr>
        <w:pStyle w:val="Style27"/>
        <w:rPr>
          <w:rFonts w:ascii="Times New Roman" w:hAnsi="Times New Roman"/>
          <w:sz w:val="22"/>
          <w:szCs w:val="22"/>
        </w:rPr>
      </w:pPr>
      <w:r>
        <w:rPr>
          <w:sz w:val="22"/>
          <w:szCs w:val="22"/>
        </w:rPr>
        <w:t>Нормы настоящего подраздела применяются только,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предусмотрено рассмотрение и оценка заявок Участников с учетом привлекаемых субподрядчиков.</w:t>
      </w:r>
    </w:p>
    <w:p>
      <w:pPr>
        <w:pStyle w:val="Style27"/>
        <w:rPr/>
      </w:pPr>
      <w:r>
        <w:rPr>
          <w:sz w:val="22"/>
          <w:szCs w:val="22"/>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sz w:val="22"/>
          <w:szCs w:val="22"/>
        </w:rPr>
        <w:fldChar w:fldCharType="begin"/>
      </w:r>
      <w:r>
        <w:rPr>
          <w:sz w:val="22"/>
          <w:szCs w:val="22"/>
        </w:rPr>
        <w:instrText xml:space="preserve"> REF _Ref125709777 \r \h </w:instrText>
      </w:r>
      <w:r>
        <w:rPr>
          <w:sz w:val="22"/>
          <w:szCs w:val="22"/>
        </w:rPr>
        <w:fldChar w:fldCharType="separate"/>
      </w:r>
      <w:r>
        <w:rPr>
          <w:sz w:val="22"/>
          <w:szCs w:val="22"/>
        </w:rPr>
        <w:t>8.6</w:t>
      </w:r>
      <w:r>
        <w:rPr>
          <w:sz w:val="22"/>
          <w:szCs w:val="22"/>
        </w:rPr>
        <w:fldChar w:fldCharType="end"/>
      </w:r>
      <w:r>
        <w:rPr>
          <w:sz w:val="22"/>
          <w:szCs w:val="22"/>
        </w:rPr>
        <w:t xml:space="preserve"> </w:t>
      </w:r>
      <w:hyperlink w:anchor="Прил03_ТребованияУчастникам">
        <w:r>
          <w:rPr>
            <w:rStyle w:val="Style14"/>
            <w:sz w:val="22"/>
            <w:szCs w:val="22"/>
          </w:rPr>
          <w:t>Требований к Участникам (Приложение № 3)</w:t>
        </w:r>
      </w:hyperlink>
      <w:r>
        <w:rPr>
          <w:sz w:val="22"/>
          <w:szCs w:val="22"/>
        </w:rPr>
        <w:t>.</w:t>
      </w:r>
    </w:p>
    <w:p>
      <w:pPr>
        <w:pStyle w:val="Style27"/>
        <w:keepNext w:val="true"/>
        <w:rPr>
          <w:rFonts w:ascii="Times New Roman" w:hAnsi="Times New Roman"/>
          <w:sz w:val="22"/>
          <w:szCs w:val="22"/>
        </w:rPr>
      </w:pPr>
      <w:r>
        <w:rPr>
          <w:sz w:val="22"/>
          <w:szCs w:val="22"/>
        </w:rPr>
        <w:t>Генеральный подрядчик:</w:t>
      </w:r>
    </w:p>
    <w:p>
      <w:pPr>
        <w:pStyle w:val="Style28"/>
        <w:rPr>
          <w:rFonts w:ascii="Times New Roman" w:hAnsi="Times New Roman"/>
          <w:sz w:val="22"/>
          <w:szCs w:val="22"/>
        </w:rPr>
      </w:pPr>
      <w:r>
        <w:rPr>
          <w:sz w:val="22"/>
          <w:szCs w:val="22"/>
        </w:rPr>
        <w:t>должен самостоятельно отвечать всем обязательным требованиям к Участникам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w:t>
      </w:r>
    </w:p>
    <w:p>
      <w:pPr>
        <w:pStyle w:val="Style28"/>
        <w:rPr>
          <w:rFonts w:ascii="Times New Roman" w:hAnsi="Times New Roman"/>
          <w:sz w:val="22"/>
          <w:szCs w:val="22"/>
        </w:rPr>
      </w:pPr>
      <w:r>
        <w:rPr>
          <w:sz w:val="22"/>
          <w:szCs w:val="22"/>
        </w:rPr>
        <w:t>в рамках специальных требований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8"/>
        <w:rPr/>
      </w:pPr>
      <w:r>
        <w:rPr>
          <w:sz w:val="22"/>
          <w:szCs w:val="22"/>
        </w:rPr>
        <w:t>в рамках остальных специальных требований и квалификационных требований (подраздел </w:t>
      </w:r>
      <w:r>
        <w:rPr>
          <w:sz w:val="22"/>
          <w:szCs w:val="22"/>
        </w:rPr>
        <w:fldChar w:fldCharType="begin"/>
      </w:r>
      <w:r>
        <w:rPr>
          <w:sz w:val="22"/>
          <w:szCs w:val="22"/>
        </w:rPr>
        <w:instrText xml:space="preserve"> REF _Ref125709154 \r \h </w:instrText>
      </w:r>
      <w:r>
        <w:rPr>
          <w:sz w:val="22"/>
          <w:szCs w:val="22"/>
        </w:rPr>
        <w:fldChar w:fldCharType="separate"/>
      </w:r>
      <w:r>
        <w:rPr>
          <w:sz w:val="22"/>
          <w:szCs w:val="22"/>
        </w:rPr>
        <w:t>8.4</w:t>
      </w:r>
      <w:r>
        <w:rPr>
          <w:sz w:val="22"/>
          <w:szCs w:val="22"/>
        </w:rPr>
        <w:fldChar w:fldCharType="end"/>
      </w:r>
      <w:r>
        <w:rPr>
          <w:sz w:val="22"/>
          <w:szCs w:val="22"/>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r>
          <w:rPr>
            <w:rStyle w:val="Style14"/>
            <w:sz w:val="22"/>
            <w:szCs w:val="22"/>
          </w:rPr>
          <w:t>Приложение № 4</w:t>
        </w:r>
      </w:hyperlink>
      <w:r>
        <w:rPr>
          <w:sz w:val="22"/>
          <w:szCs w:val="22"/>
        </w:rPr>
        <w:t>).</w:t>
      </w:r>
    </w:p>
    <w:p>
      <w:pPr>
        <w:pStyle w:val="Style27"/>
        <w:keepNext w:val="true"/>
        <w:rPr>
          <w:rFonts w:ascii="Times New Roman" w:hAnsi="Times New Roman"/>
          <w:sz w:val="22"/>
          <w:szCs w:val="22"/>
        </w:rPr>
      </w:pPr>
      <w:r>
        <w:rPr>
          <w:sz w:val="22"/>
          <w:szCs w:val="22"/>
        </w:rPr>
        <w:t>Каждый субподрядчик из привлекаемых Генеральным подрядчиком должен отвечать:</w:t>
      </w:r>
    </w:p>
    <w:p>
      <w:pPr>
        <w:pStyle w:val="Style28"/>
        <w:rPr>
          <w:rFonts w:ascii="Times New Roman" w:hAnsi="Times New Roman"/>
          <w:sz w:val="22"/>
          <w:szCs w:val="22"/>
        </w:rPr>
      </w:pPr>
      <w:r>
        <w:rPr>
          <w:sz w:val="22"/>
          <w:szCs w:val="22"/>
        </w:rPr>
        <w:t>обязательным требованиям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w:t>
      </w:r>
    </w:p>
    <w:p>
      <w:pPr>
        <w:pStyle w:val="Style28"/>
        <w:rPr>
          <w:rFonts w:ascii="Times New Roman" w:hAnsi="Times New Roman"/>
          <w:sz w:val="22"/>
          <w:szCs w:val="22"/>
        </w:rPr>
      </w:pPr>
      <w:r>
        <w:rPr>
          <w:sz w:val="22"/>
          <w:szCs w:val="22"/>
        </w:rPr>
        <w:t>специальным требованиям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 (в случае их установления), за исключением требования о наличии членства в саморегулируемых организациях;</w:t>
      </w:r>
    </w:p>
    <w:p>
      <w:pPr>
        <w:pStyle w:val="Style28"/>
        <w:rPr>
          <w:rFonts w:ascii="Times New Roman" w:hAnsi="Times New Roman"/>
          <w:sz w:val="22"/>
          <w:szCs w:val="22"/>
        </w:rPr>
      </w:pPr>
      <w:r>
        <w:rPr>
          <w:sz w:val="22"/>
          <w:szCs w:val="22"/>
        </w:rPr>
        <w:t>квалификационным требованиям (подраздел </w:t>
      </w:r>
      <w:r>
        <w:rPr>
          <w:sz w:val="22"/>
          <w:szCs w:val="22"/>
        </w:rPr>
        <w:fldChar w:fldCharType="begin"/>
      </w:r>
      <w:r>
        <w:rPr>
          <w:sz w:val="22"/>
          <w:szCs w:val="22"/>
        </w:rPr>
        <w:instrText xml:space="preserve"> REF _Ref125709154 \r \h </w:instrText>
      </w:r>
      <w:r>
        <w:rPr>
          <w:sz w:val="22"/>
          <w:szCs w:val="22"/>
        </w:rPr>
        <w:fldChar w:fldCharType="separate"/>
      </w:r>
      <w:r>
        <w:rPr>
          <w:sz w:val="22"/>
          <w:szCs w:val="22"/>
        </w:rPr>
        <w:t>8.4</w:t>
      </w:r>
      <w:r>
        <w:rPr>
          <w:sz w:val="22"/>
          <w:szCs w:val="22"/>
        </w:rPr>
        <w:fldChar w:fldCharType="end"/>
      </w:r>
      <w:r>
        <w:rPr>
          <w:sz w:val="22"/>
          <w:szCs w:val="22"/>
        </w:rPr>
        <w:t>) (в случае их установления).</w:t>
      </w:r>
    </w:p>
    <w:p>
      <w:pPr>
        <w:pStyle w:val="Style31"/>
        <w:ind w:left="1134"/>
        <w:rPr/>
      </w:pPr>
      <w:bookmarkStart w:id="92" w:name="_Ref125368863"/>
      <w:r>
        <w:rPr>
          <w:sz w:val="22"/>
          <w:szCs w:val="22"/>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92"/>
      <w:r>
        <w:rPr>
          <w:sz w:val="22"/>
          <w:szCs w:val="22"/>
        </w:rPr>
        <w:t>в соответствии с Планом распределения объемов поставки продукции (форма 10) (</w:t>
      </w:r>
      <w:hyperlink w:anchor="Прил04_ФормыЗаявки">
        <w:r>
          <w:rPr>
            <w:rStyle w:val="Style14"/>
            <w:sz w:val="22"/>
            <w:szCs w:val="22"/>
          </w:rPr>
          <w:t>Приложение № 4</w:t>
        </w:r>
      </w:hyperlink>
      <w:r>
        <w:rPr>
          <w:sz w:val="22"/>
          <w:szCs w:val="22"/>
        </w:rPr>
        <w:t>).</w:t>
      </w:r>
    </w:p>
    <w:p>
      <w:pPr>
        <w:pStyle w:val="Style27"/>
        <w:rPr/>
      </w:pPr>
      <w:r>
        <w:rPr>
          <w:sz w:val="22"/>
          <w:szCs w:val="22"/>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4"/>
            <w:sz w:val="22"/>
            <w:szCs w:val="22"/>
          </w:rPr>
          <w:t>Порядке и критериях оценки и сопоставления заявок (Приложение № 8)</w:t>
        </w:r>
      </w:hyperlink>
      <w:r>
        <w:rPr>
          <w:sz w:val="22"/>
          <w:szCs w:val="22"/>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7"/>
        <w:rPr>
          <w:rFonts w:ascii="Times New Roman" w:hAnsi="Times New Roman"/>
          <w:sz w:val="22"/>
          <w:szCs w:val="22"/>
        </w:rPr>
      </w:pPr>
      <w:bookmarkStart w:id="93" w:name="_Ref125361799"/>
      <w:r>
        <w:rPr>
          <w:sz w:val="22"/>
          <w:szCs w:val="22"/>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rPr>
          <w:sz w:val="22"/>
          <w:szCs w:val="22"/>
        </w:rPr>
        <w:fldChar w:fldCharType="begin"/>
      </w:r>
      <w:r>
        <w:rPr>
          <w:sz w:val="22"/>
          <w:szCs w:val="22"/>
        </w:rPr>
        <w:instrText xml:space="preserve"> REF _Ref130308203 \r \h </w:instrText>
      </w:r>
      <w:r>
        <w:rPr>
          <w:sz w:val="22"/>
          <w:szCs w:val="22"/>
        </w:rPr>
        <w:fldChar w:fldCharType="separate"/>
      </w:r>
      <w:r>
        <w:rPr>
          <w:sz w:val="22"/>
          <w:szCs w:val="22"/>
        </w:rPr>
        <w:t>3.2</w:t>
      </w:r>
      <w:r>
        <w:rPr>
          <w:sz w:val="22"/>
          <w:szCs w:val="22"/>
        </w:rPr>
        <w:fldChar w:fldCharType="end"/>
      </w:r>
      <w:r>
        <w:rPr>
          <w:sz w:val="22"/>
          <w:szCs w:val="22"/>
        </w:rP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93"/>
    </w:p>
    <w:p>
      <w:pPr>
        <w:pStyle w:val="Style27"/>
        <w:rPr/>
      </w:pPr>
      <w:r>
        <w:rPr>
          <w:sz w:val="22"/>
          <w:szCs w:val="22"/>
        </w:rPr>
        <w:t>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sz w:val="22"/>
          <w:szCs w:val="22"/>
        </w:rPr>
        <w:fldChar w:fldCharType="begin"/>
      </w:r>
      <w:r>
        <w:rPr>
          <w:sz w:val="22"/>
          <w:szCs w:val="22"/>
        </w:rPr>
        <w:instrText xml:space="preserve"> REF _Ref125709973 \r \h </w:instrText>
      </w:r>
      <w:r>
        <w:rPr>
          <w:sz w:val="22"/>
          <w:szCs w:val="22"/>
        </w:rPr>
        <w:fldChar w:fldCharType="separate"/>
      </w:r>
      <w:r>
        <w:rPr>
          <w:sz w:val="22"/>
          <w:szCs w:val="22"/>
        </w:rPr>
        <w:t>8.6</w:t>
      </w:r>
      <w:r>
        <w:rPr>
          <w:sz w:val="22"/>
          <w:szCs w:val="22"/>
        </w:rPr>
        <w:fldChar w:fldCharType="end"/>
      </w:r>
      <w:r>
        <w:rPr>
          <w:sz w:val="22"/>
          <w:szCs w:val="22"/>
        </w:rPr>
        <w:t xml:space="preserve"> </w:t>
      </w:r>
      <w:hyperlink w:anchor="Прил03_ТребованияУчастникам">
        <w:r>
          <w:rPr>
            <w:rStyle w:val="Style14"/>
            <w:sz w:val="22"/>
            <w:szCs w:val="22"/>
          </w:rPr>
          <w:t>Требований к Участникам (Приложение № 3)</w:t>
        </w:r>
      </w:hyperlink>
      <w:r>
        <w:rPr>
          <w:sz w:val="22"/>
          <w:szCs w:val="22"/>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6"/>
        <w:rPr>
          <w:rFonts w:ascii="Times New Roman" w:hAnsi="Times New Roman"/>
          <w:sz w:val="22"/>
          <w:szCs w:val="22"/>
        </w:rPr>
      </w:pPr>
      <w:bookmarkStart w:id="94" w:name="_Ref127524203"/>
      <w:bookmarkStart w:id="95" w:name="_Toc230928840"/>
      <w:r>
        <w:rPr>
          <w:sz w:val="22"/>
          <w:szCs w:val="22"/>
        </w:rPr>
        <w:t>Привлечение субподрядчиков (соисполнителей) из числа субъектов МСП</w:t>
      </w:r>
      <w:bookmarkEnd w:id="94"/>
      <w:bookmarkEnd w:id="95"/>
    </w:p>
    <w:p>
      <w:pPr>
        <w:pStyle w:val="Style27"/>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предусмотрена обязанность Участников по привлечению к исполнению Договора субподрядчиков (соисполнителей) из числа субъектов МСП.</w:t>
      </w:r>
    </w:p>
    <w:p>
      <w:pPr>
        <w:pStyle w:val="Style27"/>
        <w:rPr/>
      </w:pPr>
      <w:r>
        <w:rPr>
          <w:sz w:val="22"/>
          <w:szCs w:val="22"/>
        </w:rPr>
        <w:t>Помимо требований настоящего подраздела, Участник также должен выполнить требования к дополнительным документам, предоставляемым им в составе заявки, установленные в подразделе </w:t>
      </w:r>
      <w:r>
        <w:rPr>
          <w:sz w:val="22"/>
          <w:szCs w:val="22"/>
        </w:rPr>
        <w:fldChar w:fldCharType="begin"/>
      </w:r>
      <w:r>
        <w:rPr>
          <w:sz w:val="22"/>
          <w:szCs w:val="22"/>
        </w:rPr>
        <w:instrText xml:space="preserve"> REF _Ref125550523 \r \h </w:instrText>
      </w:r>
      <w:r>
        <w:rPr>
          <w:sz w:val="22"/>
          <w:szCs w:val="22"/>
        </w:rPr>
        <w:fldChar w:fldCharType="separate"/>
      </w:r>
      <w:r>
        <w:rPr>
          <w:sz w:val="22"/>
          <w:szCs w:val="22"/>
        </w:rPr>
        <w:t>8.7</w:t>
      </w:r>
      <w:r>
        <w:rPr>
          <w:sz w:val="22"/>
          <w:szCs w:val="22"/>
        </w:rPr>
        <w:fldChar w:fldCharType="end"/>
      </w:r>
      <w:r>
        <w:rPr>
          <w:sz w:val="22"/>
          <w:szCs w:val="22"/>
        </w:rPr>
        <w:t xml:space="preserve"> </w:t>
      </w:r>
      <w:hyperlink w:anchor="Прил03_ТребованияУчастникам">
        <w:r>
          <w:rPr>
            <w:rStyle w:val="Style14"/>
            <w:sz w:val="22"/>
            <w:szCs w:val="22"/>
          </w:rPr>
          <w:t>Требований к Участникам (Приложение № 3)</w:t>
        </w:r>
      </w:hyperlink>
      <w:r>
        <w:rPr>
          <w:sz w:val="22"/>
          <w:szCs w:val="22"/>
        </w:rPr>
        <w:t>. При этом в Плане распределения объемов поставки продукции (форма 10) (</w:t>
      </w:r>
      <w:hyperlink w:anchor="Прил04_ФормыЗаявки">
        <w:r>
          <w:rPr>
            <w:rStyle w:val="Style14"/>
            <w:sz w:val="22"/>
            <w:szCs w:val="22"/>
          </w:rPr>
          <w:t>Приложение № 4</w:t>
        </w:r>
      </w:hyperlink>
      <w:r>
        <w:rPr>
          <w:sz w:val="22"/>
          <w:szCs w:val="22"/>
        </w:rPr>
        <w:t>) Участник должен указать привлекаемых им субподрядчиков (соисполнителей) из числа субъектов МСП, а также является ли самостоятельно Участник субъектом МСП.</w:t>
      </w:r>
    </w:p>
    <w:p>
      <w:pPr>
        <w:pStyle w:val="Style27"/>
        <w:rPr/>
      </w:pPr>
      <w:r>
        <w:rPr>
          <w:sz w:val="22"/>
          <w:szCs w:val="22"/>
        </w:rPr>
        <w:t>При этом требования подраздела </w:t>
      </w:r>
      <w:r>
        <w:rPr>
          <w:sz w:val="22"/>
          <w:szCs w:val="22"/>
        </w:rPr>
        <w:fldChar w:fldCharType="begin"/>
      </w:r>
      <w:r>
        <w:rPr>
          <w:sz w:val="22"/>
          <w:szCs w:val="22"/>
        </w:rPr>
        <w:instrText xml:space="preserve"> REF _Ref125550523 \r \h </w:instrText>
      </w:r>
      <w:r>
        <w:rPr>
          <w:sz w:val="22"/>
          <w:szCs w:val="22"/>
        </w:rPr>
        <w:fldChar w:fldCharType="separate"/>
      </w:r>
      <w:r>
        <w:rPr>
          <w:sz w:val="22"/>
          <w:szCs w:val="22"/>
        </w:rPr>
        <w:t>8.7</w:t>
      </w:r>
      <w:r>
        <w:rPr>
          <w:sz w:val="22"/>
          <w:szCs w:val="22"/>
        </w:rPr>
        <w:fldChar w:fldCharType="end"/>
      </w:r>
      <w:r>
        <w:rPr>
          <w:sz w:val="22"/>
          <w:szCs w:val="22"/>
        </w:rPr>
        <w:t xml:space="preserve"> </w:t>
      </w:r>
      <w:hyperlink w:anchor="Прил03_ТребованияУчастникам">
        <w:r>
          <w:rPr>
            <w:rStyle w:val="Style14"/>
            <w:sz w:val="22"/>
            <w:szCs w:val="22"/>
          </w:rPr>
          <w:t>Требований к Участникам (Приложение № 3)</w:t>
        </w:r>
      </w:hyperlink>
      <w:r>
        <w:rPr>
          <w:sz w:val="22"/>
          <w:szCs w:val="22"/>
        </w:rPr>
        <w:t xml:space="preserve"> применяются вне зависимости от порядка рассмотрения и оценки заявок участников, являющихся Генеральными подрядчиками (с учетом субподрядчиков, или без учета субподрядчиков) (подраздел </w:t>
      </w:r>
      <w:r>
        <w:rPr>
          <w:sz w:val="22"/>
          <w:szCs w:val="22"/>
        </w:rPr>
        <w:fldChar w:fldCharType="begin"/>
      </w:r>
      <w:r>
        <w:rPr>
          <w:sz w:val="22"/>
          <w:szCs w:val="22"/>
        </w:rPr>
        <w:instrText xml:space="preserve"> REF _Ref125361702 \r \h </w:instrText>
      </w:r>
      <w:r>
        <w:rPr>
          <w:sz w:val="22"/>
          <w:szCs w:val="22"/>
        </w:rPr>
        <w:fldChar w:fldCharType="separate"/>
      </w:r>
      <w:r>
        <w:rPr>
          <w:sz w:val="22"/>
          <w:szCs w:val="22"/>
        </w:rPr>
        <w:t>3.3</w:t>
      </w:r>
      <w:r>
        <w:rPr>
          <w:sz w:val="22"/>
          <w:szCs w:val="22"/>
        </w:rPr>
        <w:fldChar w:fldCharType="end"/>
      </w:r>
      <w:r>
        <w:rPr>
          <w:sz w:val="22"/>
          <w:szCs w:val="22"/>
        </w:rPr>
        <w:t>).</w:t>
      </w:r>
    </w:p>
    <w:p>
      <w:pPr>
        <w:pStyle w:val="Style27"/>
        <w:rPr/>
      </w:pPr>
      <w:bookmarkStart w:id="96" w:name="_Ref125473377"/>
      <w:r>
        <w:rPr>
          <w:sz w:val="22"/>
          <w:szCs w:val="22"/>
        </w:rPr>
        <w:t>Участник считается выполнившим требование по привлечению к исполнению Договора субподрядчиков (соисполнителей) из числа субъектов МСП, при условии предоставления информации, указанной в Плане распределения объемов поставки продукции (форма 10) (</w:t>
      </w:r>
      <w:hyperlink w:anchor="Прил04_ФормыЗаявки">
        <w:r>
          <w:rPr>
            <w:rStyle w:val="Style14"/>
            <w:sz w:val="22"/>
            <w:szCs w:val="22"/>
          </w:rPr>
          <w:t>Приложение № 4</w:t>
        </w:r>
      </w:hyperlink>
      <w:r>
        <w:rPr>
          <w:sz w:val="22"/>
          <w:szCs w:val="22"/>
        </w:rPr>
        <w:t>).</w:t>
      </w:r>
      <w:bookmarkEnd w:id="96"/>
      <w:r>
        <w:rPr>
          <w:sz w:val="22"/>
          <w:szCs w:val="22"/>
        </w:rPr>
        <w:t xml:space="preserve"> В случае непредоставления этой 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rFonts w:ascii="Times New Roman" w:hAnsi="Times New Roman"/>
          <w:sz w:val="22"/>
          <w:szCs w:val="22"/>
        </w:rPr>
      </w:pPr>
      <w:r>
        <w:rPr>
          <w:sz w:val="22"/>
          <w:szCs w:val="22"/>
        </w:rPr>
        <w:t>Если привлекаемые субъекты МСП входят в состав Коллективного участника (подраздел </w:t>
      </w:r>
      <w:r>
        <w:rPr>
          <w:sz w:val="22"/>
          <w:szCs w:val="22"/>
        </w:rPr>
        <w:fldChar w:fldCharType="begin"/>
      </w:r>
      <w:r>
        <w:rPr>
          <w:sz w:val="22"/>
          <w:szCs w:val="22"/>
        </w:rPr>
        <w:instrText xml:space="preserve"> REF _Ref130308255 \r \h </w:instrText>
      </w:r>
      <w:r>
        <w:rPr>
          <w:sz w:val="22"/>
          <w:szCs w:val="22"/>
        </w:rPr>
        <w:fldChar w:fldCharType="separate"/>
      </w:r>
      <w:r>
        <w:rPr>
          <w:sz w:val="22"/>
          <w:szCs w:val="22"/>
        </w:rPr>
        <w:t>3.2</w:t>
      </w:r>
      <w:r>
        <w:rPr>
          <w:sz w:val="22"/>
          <w:szCs w:val="22"/>
        </w:rPr>
        <w:fldChar w:fldCharType="end"/>
      </w:r>
      <w:r>
        <w:rPr>
          <w:sz w:val="22"/>
          <w:szCs w:val="22"/>
        </w:rPr>
        <w:t>), то объем исполнения Договора таким Коллективным участником засчитывается в исполнение требования по привлечению субъектов МСП в качестве субподрядчиков (соисполнителей), при условии выполнения остальных требований настоящего подраздела.</w:t>
      </w:r>
    </w:p>
    <w:p>
      <w:pPr>
        <w:pStyle w:val="Style25"/>
        <w:rPr>
          <w:rFonts w:ascii="Times New Roman" w:hAnsi="Times New Roman"/>
          <w:sz w:val="22"/>
          <w:szCs w:val="22"/>
        </w:rPr>
      </w:pPr>
      <w:bookmarkStart w:id="97" w:name="_Ref125361211"/>
      <w:bookmarkStart w:id="98" w:name="_Ref125367098"/>
      <w:bookmarkStart w:id="99" w:name="_Ref125367107"/>
      <w:bookmarkStart w:id="100" w:name="_Ref125367974"/>
      <w:bookmarkStart w:id="101" w:name="_Toc230928841"/>
      <w:r>
        <w:rPr>
          <w:sz w:val="22"/>
          <w:szCs w:val="22"/>
        </w:rPr>
        <w:t>Порядок проведения закупки</w:t>
      </w:r>
      <w:bookmarkEnd w:id="97"/>
      <w:bookmarkEnd w:id="98"/>
      <w:bookmarkEnd w:id="99"/>
      <w:bookmarkEnd w:id="100"/>
      <w:bookmarkEnd w:id="101"/>
    </w:p>
    <w:p>
      <w:pPr>
        <w:pStyle w:val="Style26"/>
        <w:rPr>
          <w:rFonts w:ascii="Times New Roman" w:hAnsi="Times New Roman"/>
          <w:sz w:val="22"/>
          <w:szCs w:val="22"/>
        </w:rPr>
      </w:pPr>
      <w:bookmarkStart w:id="102" w:name="_Ref126141932"/>
      <w:bookmarkStart w:id="103" w:name="_Toc230928842"/>
      <w:r>
        <w:rPr>
          <w:sz w:val="22"/>
          <w:szCs w:val="22"/>
        </w:rPr>
        <w:t>Общий порядок проведения закупки</w:t>
      </w:r>
      <w:bookmarkEnd w:id="102"/>
      <w:bookmarkEnd w:id="103"/>
    </w:p>
    <w:p>
      <w:pPr>
        <w:pStyle w:val="Style27"/>
        <w:keepNext w:val="true"/>
        <w:spacing w:before="120" w:after="120"/>
        <w:rPr>
          <w:rFonts w:ascii="Times New Roman" w:hAnsi="Times New Roman"/>
          <w:sz w:val="22"/>
          <w:szCs w:val="22"/>
        </w:rPr>
      </w:pPr>
      <w:r>
        <w:rPr>
          <w:sz w:val="22"/>
          <w:szCs w:val="22"/>
        </w:rPr>
        <w:t>Закупка проводится в следующем порядке:</w:t>
      </w:r>
    </w:p>
    <w:tbl>
      <w:tblPr>
        <w:tblStyle w:val="af6"/>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2221"/>
        <w:gridCol w:w="1109"/>
        <w:gridCol w:w="1112"/>
        <w:gridCol w:w="2226"/>
        <w:gridCol w:w="2409"/>
        <w:gridCol w:w="2267"/>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31"/>
              <w:keepNext w:val="true"/>
              <w:keepLines w:val="false"/>
              <w:widowControl/>
              <w:suppressAutoHyphens w:val="true"/>
              <w:spacing w:before="40" w:after="40"/>
              <w:jc w:val="center"/>
              <w:rPr>
                <w:rFonts w:ascii="Times New Roman" w:hAnsi="Times New Roman"/>
                <w:sz w:val="22"/>
                <w:szCs w:val="22"/>
              </w:rPr>
            </w:pPr>
            <w:r>
              <w:rPr>
                <w:rFonts w:eastAsia="Wingdings 3" w:cs="Wingdings 3"/>
                <w:b w:val="false"/>
                <w:bCs/>
                <w:kern w:val="0"/>
                <w:sz w:val="22"/>
                <w:szCs w:val="22"/>
                <w:lang w:val="ru-RU" w:eastAsia="en-US" w:bidi="ar-SA"/>
              </w:rPr>
              <w:t></w:t>
            </w:r>
          </w:p>
        </w:tc>
        <w:tc>
          <w:tcPr>
            <w:tcW w:w="13574" w:type="dxa"/>
            <w:gridSpan w:val="7"/>
            <w:tcBorders>
              <w:right w:val="nil"/>
            </w:tcBorders>
          </w:tcPr>
          <w:p>
            <w:pPr>
              <w:pStyle w:val="Style31"/>
              <w:keepNext w:val="true"/>
              <w:keepLines w:val="false"/>
              <w:widowControl/>
              <w:suppressAutoHyphens w:val="true"/>
              <w:spacing w:before="40" w:after="40"/>
              <w:jc w:val="center"/>
              <w:rPr>
                <w:rFonts w:ascii="Times New Roman" w:hAnsi="Times New Roman"/>
                <w:sz w:val="22"/>
                <w:szCs w:val="22"/>
              </w:rPr>
            </w:pPr>
            <w:r>
              <w:rPr>
                <w:rFonts w:eastAsia="Calibri" w:cs=""/>
                <w:b/>
                <w:bCs/>
                <w:kern w:val="0"/>
                <w:sz w:val="22"/>
                <w:szCs w:val="22"/>
                <w:lang w:val="ru-RU" w:eastAsia="en-US" w:bidi="ar-SA"/>
              </w:rPr>
              <w:t>Официальное размещение Извещения и Документации о закупке (подраздел </w:t>
            </w:r>
            <w:r>
              <w:rPr>
                <w:rFonts w:eastAsia="Calibri" w:cs=""/>
                <w:b/>
                <w:bCs/>
                <w:kern w:val="0"/>
                <w:sz w:val="22"/>
                <w:szCs w:val="22"/>
                <w:lang w:val="ru-RU" w:eastAsia="en-US" w:bidi="ar-SA"/>
              </w:rPr>
              <w:fldChar w:fldCharType="begin"/>
            </w:r>
            <w:r>
              <w:rPr>
                <w:sz w:val="22"/>
                <w:b/>
                <w:kern w:val="0"/>
                <w:szCs w:val="22"/>
                <w:bCs/>
                <w:rFonts w:eastAsia="Calibri" w:cs=""/>
                <w:lang w:val="ru-RU" w:eastAsia="en-US" w:bidi="ar-SA"/>
              </w:rPr>
              <w:instrText xml:space="preserve"> REF _Ref130286532 \r \h </w:instrText>
            </w:r>
            <w:r>
              <w:rPr>
                <w:sz w:val="22"/>
                <w:b/>
                <w:kern w:val="0"/>
                <w:szCs w:val="22"/>
                <w:bCs/>
                <w:rFonts w:eastAsia="Calibri" w:cs=""/>
                <w:lang w:val="ru-RU" w:eastAsia="en-US" w:bidi="ar-SA"/>
              </w:rPr>
              <w:fldChar w:fldCharType="separate"/>
            </w:r>
            <w:r>
              <w:rPr>
                <w:sz w:val="22"/>
                <w:b/>
                <w:kern w:val="0"/>
                <w:szCs w:val="22"/>
                <w:bCs/>
                <w:rFonts w:eastAsia="Calibri" w:cs=""/>
                <w:lang w:val="ru-RU" w:eastAsia="en-US" w:bidi="ar-SA"/>
              </w:rPr>
              <w:t>4.2</w:t>
            </w:r>
            <w:r>
              <w:rPr>
                <w:sz w:val="22"/>
                <w:b/>
                <w:kern w:val="0"/>
                <w:szCs w:val="22"/>
                <w:bCs/>
                <w:rFonts w:eastAsia="Calibri" w:cs=""/>
                <w:lang w:val="ru-RU" w:eastAsia="en-US" w:bidi="ar-SA"/>
              </w:rPr>
              <w:fldChar w:fldCharType="end"/>
            </w:r>
            <w:r>
              <w:rPr>
                <w:rFonts w:eastAsia="Calibri" w:cs=""/>
                <w:b/>
                <w:bCs/>
                <w:kern w:val="0"/>
                <w:sz w:val="22"/>
                <w:szCs w:val="22"/>
                <w:lang w:val="ru-RU" w:eastAsia="en-US" w:bidi="ar-SA"/>
              </w:rPr>
              <w:t>)</w:t>
            </w:r>
          </w:p>
        </w:tc>
      </w:tr>
      <w:tr>
        <w:trPr/>
        <w:tc>
          <w:tcPr>
            <w:tcW w:w="428" w:type="dxa"/>
            <w:tcBorders>
              <w:left w:val="nil"/>
            </w:tcBorders>
            <w:vAlign w:val="bottom"/>
          </w:tcPr>
          <w:p>
            <w:pPr>
              <w:pStyle w:val="Style31"/>
              <w:widowControl/>
              <w:suppressAutoHyphens w:val="true"/>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6668" w:type="dxa"/>
            <w:gridSpan w:val="4"/>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Подготовка заявки (раздел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_Ref130281199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4.3</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409" w:type="dxa"/>
            <w:vMerge w:val="restart"/>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Предоставление разъяснений положений Документации о закупке</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_Ref130394802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4.4</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267" w:type="dxa"/>
            <w:vMerge w:val="restart"/>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Внесение изменений в Извещение и (или) Документацию о закупке</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_Ref125362076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4.5</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230" w:type="dxa"/>
            <w:vMerge w:val="restart"/>
            <w:tcBorders>
              <w:right w:val="nil"/>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Отказ от проведения закупки (отмена закупки)</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_Ref126141962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4.16</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r>
      <w:tr>
        <w:trPr/>
        <w:tc>
          <w:tcPr>
            <w:tcW w:w="428" w:type="dxa"/>
            <w:tcBorders>
              <w:left w:val="nil"/>
            </w:tcBorders>
            <w:vAlign w:val="bottom"/>
          </w:tcPr>
          <w:p>
            <w:pPr>
              <w:pStyle w:val="Style31"/>
              <w:widowControl/>
              <w:suppressAutoHyphens w:val="true"/>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3330" w:type="dxa"/>
            <w:gridSpan w:val="2"/>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Подача заявок и их прием</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_Ref125362119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4.6</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3338" w:type="dxa"/>
            <w:gridSpan w:val="2"/>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Изменение и отзыв заявок</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_Ref125362130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4.7</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409" w:type="dxa"/>
            <w:vMerge w:val="continue"/>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c>
          <w:tcPr>
            <w:tcW w:w="2267" w:type="dxa"/>
            <w:vMerge w:val="continue"/>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c>
          <w:tcPr>
            <w:tcW w:w="2230" w:type="dxa"/>
            <w:vMerge w:val="continue"/>
            <w:tcBorders>
              <w:right w:val="nil"/>
            </w:tcBorders>
            <w:vAlign w:val="bottom"/>
          </w:tcPr>
          <w:p>
            <w:pPr>
              <w:pStyle w:val="Style31"/>
              <w:widowControl/>
              <w:suppressAutoHyphens w:val="true"/>
              <w:spacing w:before="40" w:after="40"/>
              <w:jc w:val="center"/>
              <w:rPr>
                <w:rFonts w:ascii="Times New Roman" w:hAnsi="Times New Roman"/>
                <w:bCs/>
                <w:sz w:val="22"/>
                <w:szCs w:val="22"/>
              </w:rPr>
            </w:pPr>
            <w:r>
              <w:rPr>
                <w:bCs/>
                <w:sz w:val="22"/>
                <w:szCs w:val="22"/>
              </w:rPr>
            </w:r>
          </w:p>
        </w:tc>
      </w:tr>
      <w:tr>
        <w:trPr/>
        <w:tc>
          <w:tcPr>
            <w:tcW w:w="428" w:type="dxa"/>
            <w:tcBorders>
              <w:left w:val="nil"/>
            </w:tcBorders>
            <w:vAlign w:val="bottom"/>
          </w:tcPr>
          <w:p>
            <w:pPr>
              <w:pStyle w:val="Style31"/>
              <w:widowControl/>
              <w:suppressAutoHyphens w:val="true"/>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11344" w:type="dxa"/>
            <w:gridSpan w:val="6"/>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Открытие доступа к заявкам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_Ref130221619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4.8</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230" w:type="dxa"/>
            <w:vMerge w:val="restart"/>
            <w:tcBorders>
              <w:right w:val="nil"/>
            </w:tcBorders>
            <w:vAlign w:val="center"/>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_Ref126141962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4.16</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r>
      <w:tr>
        <w:trPr/>
        <w:tc>
          <w:tcPr>
            <w:tcW w:w="428" w:type="dxa"/>
            <w:tcBorders>
              <w:left w:val="nil"/>
            </w:tcBorders>
            <w:vAlign w:val="bottom"/>
          </w:tcPr>
          <w:p>
            <w:pPr>
              <w:pStyle w:val="Style31"/>
              <w:widowControl/>
              <w:suppressAutoHyphens w:val="true"/>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3330" w:type="dxa"/>
            <w:gridSpan w:val="2"/>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_Ref125362364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4.9</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3338" w:type="dxa"/>
            <w:gridSpan w:val="2"/>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Применение законодательства о национальном режиме</w:t>
              <w:br/>
              <w:t>(предоставление национального режима / запрета, ограничения)</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_Ref130985951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4.13</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409" w:type="dxa"/>
            <w:vMerge w:val="restart"/>
            <w:tcBorders/>
            <w:vAlign w:val="center"/>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Направление дополнительных запросов разъяснений заявок</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_Ref125362381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4.10</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267" w:type="dxa"/>
            <w:vMerge w:val="restart"/>
            <w:tcBorders/>
            <w:vAlign w:val="center"/>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Признание закупки</w:t>
              <w:br/>
              <w:t>несостоявшейся</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_Ref125364149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4.15</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230" w:type="dxa"/>
            <w:vMerge w:val="continue"/>
            <w:tcBorders>
              <w:right w:val="nil"/>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r>
      <w:tr>
        <w:trPr/>
        <w:tc>
          <w:tcPr>
            <w:tcW w:w="428" w:type="dxa"/>
            <w:tcBorders>
              <w:left w:val="nil"/>
            </w:tcBorders>
            <w:vAlign w:val="bottom"/>
          </w:tcPr>
          <w:p>
            <w:pPr>
              <w:pStyle w:val="Style31"/>
              <w:widowControl/>
              <w:suppressAutoHyphens w:val="true"/>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6668" w:type="dxa"/>
            <w:gridSpan w:val="4"/>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Переторжка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_Ref127536359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4.11</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409" w:type="dxa"/>
            <w:vMerge w:val="continue"/>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c>
          <w:tcPr>
            <w:tcW w:w="2267" w:type="dxa"/>
            <w:vMerge w:val="continue"/>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c>
          <w:tcPr>
            <w:tcW w:w="2230" w:type="dxa"/>
            <w:vMerge w:val="continue"/>
            <w:tcBorders>
              <w:right w:val="nil"/>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r>
      <w:tr>
        <w:trPr>
          <w:trHeight w:val="881" w:hRule="atLeast"/>
        </w:trPr>
        <w:tc>
          <w:tcPr>
            <w:tcW w:w="428" w:type="dxa"/>
            <w:tcBorders>
              <w:left w:val="nil"/>
            </w:tcBorders>
            <w:vAlign w:val="bottom"/>
          </w:tcPr>
          <w:p>
            <w:pPr>
              <w:pStyle w:val="Style31"/>
              <w:widowControl/>
              <w:suppressAutoHyphens w:val="true"/>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2221" w:type="dxa"/>
            <w:tcBorders/>
            <w:vAlign w:val="center"/>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Оценка и сопоставление заявок</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_Ref125362626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4.12</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4447" w:type="dxa"/>
            <w:gridSpan w:val="3"/>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_Ref130985951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4.13</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409" w:type="dxa"/>
            <w:vMerge w:val="continue"/>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c>
          <w:tcPr>
            <w:tcW w:w="2267" w:type="dxa"/>
            <w:vMerge w:val="continue"/>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c>
          <w:tcPr>
            <w:tcW w:w="2230" w:type="dxa"/>
            <w:vMerge w:val="continue"/>
            <w:tcBorders>
              <w:right w:val="nil"/>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r>
      <w:tr>
        <w:trPr/>
        <w:tc>
          <w:tcPr>
            <w:tcW w:w="428" w:type="dxa"/>
            <w:tcBorders>
              <w:left w:val="nil"/>
            </w:tcBorders>
            <w:vAlign w:val="bottom"/>
          </w:tcPr>
          <w:p>
            <w:pPr>
              <w:pStyle w:val="Style31"/>
              <w:widowControl/>
              <w:suppressAutoHyphens w:val="true"/>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9077" w:type="dxa"/>
            <w:gridSpan w:val="5"/>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Подведение итогов закупки (определение Победителя)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_Ref125362658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4.14</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267" w:type="dxa"/>
            <w:vMerge w:val="continue"/>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c>
          <w:tcPr>
            <w:tcW w:w="2230" w:type="dxa"/>
            <w:vMerge w:val="continue"/>
            <w:tcBorders>
              <w:right w:val="nil"/>
            </w:tcBorders>
          </w:tcPr>
          <w:p>
            <w:pPr>
              <w:pStyle w:val="Style31"/>
              <w:widowControl/>
              <w:suppressAutoHyphens w:val="true"/>
              <w:spacing w:before="40" w:after="40"/>
              <w:jc w:val="center"/>
              <w:rPr>
                <w:rFonts w:ascii="Times New Roman" w:hAnsi="Times New Roman"/>
                <w:bCs/>
                <w:sz w:val="22"/>
                <w:szCs w:val="22"/>
              </w:rPr>
            </w:pPr>
            <w:r>
              <w:rPr>
                <w:bCs/>
                <w:sz w:val="22"/>
                <w:szCs w:val="22"/>
              </w:rPr>
            </w:r>
          </w:p>
        </w:tc>
      </w:tr>
      <w:tr>
        <w:trPr/>
        <w:tc>
          <w:tcPr>
            <w:tcW w:w="428" w:type="dxa"/>
            <w:tcBorders>
              <w:left w:val="nil"/>
            </w:tcBorders>
            <w:vAlign w:val="bottom"/>
          </w:tcPr>
          <w:p>
            <w:pPr>
              <w:pStyle w:val="Style31"/>
              <w:widowControl/>
              <w:suppressAutoHyphens w:val="true"/>
              <w:spacing w:before="40" w:after="40"/>
              <w:jc w:val="center"/>
              <w:rPr>
                <w:rFonts w:ascii="Times New Roman" w:hAnsi="Times New Roman"/>
                <w:sz w:val="22"/>
                <w:szCs w:val="22"/>
              </w:rPr>
            </w:pPr>
            <w:r>
              <w:rPr>
                <w:rFonts w:eastAsia="Wingdings 3" w:cs="Wingdings 3"/>
                <w:bCs/>
                <w:kern w:val="0"/>
                <w:sz w:val="22"/>
                <w:szCs w:val="22"/>
                <w:u w:val="single"/>
                <w:lang w:val="ru-RU" w:eastAsia="en-US" w:bidi="ar-SA"/>
              </w:rPr>
              <w:t></w:t>
            </w:r>
          </w:p>
        </w:tc>
        <w:tc>
          <w:tcPr>
            <w:tcW w:w="4442" w:type="dxa"/>
            <w:gridSpan w:val="3"/>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Заключение Договора</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_Ref138232981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5.2</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p>
            <w:pPr>
              <w:pStyle w:val="Style31"/>
              <w:widowControl/>
              <w:suppressAutoHyphens w:val="true"/>
              <w:spacing w:before="40" w:after="40"/>
              <w:jc w:val="center"/>
              <w:rPr>
                <w:rFonts w:ascii="Times New Roman" w:hAnsi="Times New Roman"/>
                <w:bCs/>
                <w:sz w:val="22"/>
                <w:szCs w:val="22"/>
              </w:rPr>
            </w:pPr>
            <w:r>
              <w:rPr>
                <w:bCs/>
                <w:sz w:val="22"/>
                <w:szCs w:val="22"/>
              </w:rPr>
            </w:r>
          </w:p>
        </w:tc>
        <w:tc>
          <w:tcPr>
            <w:tcW w:w="4635" w:type="dxa"/>
            <w:gridSpan w:val="2"/>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Проведение преддоговорных переговоров</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_Ref125552570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5.3</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4497" w:type="dxa"/>
            <w:gridSpan w:val="2"/>
            <w:tcBorders>
              <w:right w:val="nil"/>
            </w:tcBorders>
          </w:tcPr>
          <w:p>
            <w:pPr>
              <w:pStyle w:val="Style31"/>
              <w:widowControl/>
              <w:suppressAutoHyphens w:val="true"/>
              <w:spacing w:before="40" w:after="40"/>
              <w:jc w:val="center"/>
              <w:rPr>
                <w:rFonts w:ascii="Times New Roman" w:hAnsi="Times New Roman"/>
                <w:sz w:val="22"/>
                <w:szCs w:val="22"/>
              </w:rPr>
            </w:pPr>
            <w:r>
              <w:rPr>
                <w:rFonts w:eastAsia="Calibri" w:cs=""/>
                <w:bCs/>
                <w:kern w:val="0"/>
                <w:sz w:val="22"/>
                <w:szCs w:val="22"/>
                <w:lang w:val="ru-RU" w:eastAsia="en-US" w:bidi="ar-SA"/>
              </w:rPr>
              <w:t>Уклонение Победителя</w:t>
              <w:br/>
              <w:t>от заключения Договора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_Ref125367068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5.4</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6"/>
        <w:rPr>
          <w:rFonts w:ascii="Times New Roman" w:hAnsi="Times New Roman"/>
          <w:sz w:val="22"/>
          <w:szCs w:val="22"/>
        </w:rPr>
      </w:pPr>
      <w:bookmarkStart w:id="104" w:name="_Ref130286532"/>
      <w:bookmarkStart w:id="105" w:name="_Toc230928843"/>
      <w:r>
        <w:rPr>
          <w:sz w:val="22"/>
          <w:szCs w:val="22"/>
        </w:rPr>
        <w:t>Официальное размещение Извещения и Документации о закупке</w:t>
      </w:r>
      <w:bookmarkEnd w:id="104"/>
      <w:bookmarkEnd w:id="105"/>
    </w:p>
    <w:p>
      <w:pPr>
        <w:pStyle w:val="Style27"/>
        <w:rPr>
          <w:rFonts w:ascii="Times New Roman" w:hAnsi="Times New Roman"/>
          <w:sz w:val="22"/>
          <w:szCs w:val="22"/>
        </w:rPr>
      </w:pPr>
      <w:r>
        <w:rPr>
          <w:sz w:val="22"/>
          <w:szCs w:val="22"/>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7"/>
        <w:rPr>
          <w:rFonts w:ascii="Times New Roman" w:hAnsi="Times New Roman"/>
          <w:sz w:val="22"/>
          <w:szCs w:val="22"/>
        </w:rPr>
      </w:pPr>
      <w:r>
        <w:rPr>
          <w:sz w:val="22"/>
          <w:szCs w:val="22"/>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7"/>
        <w:rPr>
          <w:rFonts w:ascii="Times New Roman" w:hAnsi="Times New Roman"/>
          <w:sz w:val="22"/>
          <w:szCs w:val="22"/>
        </w:rPr>
      </w:pPr>
      <w:bookmarkStart w:id="106" w:name="_Ref125362785"/>
      <w:r>
        <w:rPr>
          <w:sz w:val="22"/>
          <w:szCs w:val="22"/>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06"/>
    </w:p>
    <w:p>
      <w:pPr>
        <w:pStyle w:val="Style27"/>
        <w:rPr>
          <w:rFonts w:ascii="Times New Roman" w:hAnsi="Times New Roman"/>
          <w:sz w:val="22"/>
          <w:szCs w:val="22"/>
        </w:rPr>
      </w:pPr>
      <w:r>
        <w:rPr>
          <w:sz w:val="22"/>
          <w:szCs w:val="22"/>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6"/>
        <w:rPr>
          <w:rFonts w:ascii="Times New Roman" w:hAnsi="Times New Roman"/>
          <w:sz w:val="22"/>
          <w:szCs w:val="22"/>
        </w:rPr>
      </w:pPr>
      <w:bookmarkStart w:id="107" w:name="_Ref130281199"/>
      <w:bookmarkStart w:id="108" w:name="_Ref130394681"/>
      <w:bookmarkStart w:id="109" w:name="_Toc230928844"/>
      <w:r>
        <w:rPr>
          <w:sz w:val="22"/>
          <w:szCs w:val="22"/>
        </w:rPr>
        <w:t>Подготовка заявки</w:t>
      </w:r>
      <w:bookmarkEnd w:id="107"/>
      <w:bookmarkEnd w:id="108"/>
      <w:bookmarkEnd w:id="109"/>
    </w:p>
    <w:p>
      <w:pPr>
        <w:pStyle w:val="Style27"/>
        <w:rPr>
          <w:rFonts w:ascii="Times New Roman" w:hAnsi="Times New Roman"/>
          <w:sz w:val="22"/>
          <w:szCs w:val="22"/>
        </w:rPr>
      </w:pPr>
      <w:r>
        <w:rPr>
          <w:sz w:val="22"/>
          <w:szCs w:val="22"/>
        </w:rPr>
        <w:t>Участник должен подготовить заявку с учетом требований Документации о закупке.</w:t>
      </w:r>
    </w:p>
    <w:p>
      <w:pPr>
        <w:pStyle w:val="Style27"/>
        <w:rPr>
          <w:rFonts w:ascii="Times New Roman" w:hAnsi="Times New Roman"/>
          <w:sz w:val="22"/>
          <w:szCs w:val="22"/>
        </w:rPr>
      </w:pPr>
      <w:r>
        <w:rPr>
          <w:sz w:val="22"/>
          <w:szCs w:val="22"/>
        </w:rPr>
        <w:t>Участник самостоятельно несет все расходы, связанные с подготовкой и подачей заявки (подраздел </w:t>
      </w:r>
      <w:r>
        <w:rPr>
          <w:sz w:val="22"/>
          <w:szCs w:val="22"/>
        </w:rPr>
        <w:fldChar w:fldCharType="begin"/>
      </w:r>
      <w:r>
        <w:rPr>
          <w:sz w:val="22"/>
          <w:szCs w:val="22"/>
        </w:rPr>
        <w:instrText xml:space="preserve"> REF _Ref125362119 \r \h </w:instrText>
      </w:r>
      <w:r>
        <w:rPr>
          <w:sz w:val="22"/>
          <w:szCs w:val="22"/>
        </w:rPr>
        <w:fldChar w:fldCharType="separate"/>
      </w:r>
      <w:r>
        <w:rPr>
          <w:sz w:val="22"/>
          <w:szCs w:val="22"/>
        </w:rPr>
        <w:t>4.6</w:t>
      </w:r>
      <w:r>
        <w:rPr>
          <w:sz w:val="22"/>
          <w:szCs w:val="22"/>
        </w:rPr>
        <w:fldChar w:fldCharType="end"/>
      </w:r>
      <w:r>
        <w:rPr>
          <w:sz w:val="22"/>
          <w:szCs w:val="22"/>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7"/>
        <w:rPr/>
      </w:pPr>
      <w:r>
        <w:rPr>
          <w:sz w:val="22"/>
          <w:szCs w:val="22"/>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4"/>
            <w:sz w:val="22"/>
            <w:szCs w:val="22"/>
          </w:rPr>
          <w:t>Приложением № 6 – Состав заявки</w:t>
        </w:r>
      </w:hyperlink>
      <w:r>
        <w:rPr>
          <w:sz w:val="22"/>
          <w:szCs w:val="22"/>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4"/>
            <w:sz w:val="22"/>
            <w:szCs w:val="22"/>
          </w:rPr>
          <w:t>Приложение № 4</w:t>
        </w:r>
      </w:hyperlink>
      <w:r>
        <w:rPr>
          <w:sz w:val="22"/>
          <w:szCs w:val="22"/>
        </w:rPr>
        <w:t>.</w:t>
      </w:r>
    </w:p>
    <w:p>
      <w:pPr>
        <w:pStyle w:val="Style27"/>
        <w:rPr>
          <w:rFonts w:ascii="Times New Roman" w:hAnsi="Times New Roman"/>
          <w:sz w:val="22"/>
          <w:szCs w:val="22"/>
        </w:rPr>
      </w:pPr>
      <w:bookmarkStart w:id="110" w:name="_Ref130394854"/>
      <w:bookmarkStart w:id="111" w:name="_Ref125365866"/>
      <w:r>
        <w:rPr>
          <w:sz w:val="22"/>
          <w:szCs w:val="22"/>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0"/>
      <w:bookmarkEnd w:id="111"/>
    </w:p>
    <w:p>
      <w:pPr>
        <w:pStyle w:val="Style27"/>
        <w:rPr/>
      </w:pPr>
      <w:r>
        <w:rPr>
          <w:sz w:val="22"/>
          <w:szCs w:val="22"/>
        </w:rPr>
        <w:t>Заявка должна быть действительна в течение срока проведения закупки и до истечения срока, отведенного на заключение Договора (пункт </w:t>
      </w:r>
      <w:r>
        <w:rPr>
          <w:sz w:val="22"/>
          <w:szCs w:val="22"/>
        </w:rPr>
        <w:fldChar w:fldCharType="begin"/>
      </w:r>
      <w:r>
        <w:rPr>
          <w:sz w:val="22"/>
          <w:szCs w:val="22"/>
        </w:rPr>
        <w:instrText xml:space="preserve"> REF _Ref130293821 \r \h </w:instrText>
      </w:r>
      <w:r>
        <w:rPr>
          <w:sz w:val="22"/>
          <w:szCs w:val="22"/>
        </w:rPr>
        <w:fldChar w:fldCharType="separate"/>
      </w:r>
      <w:r>
        <w:rPr>
          <w:sz w:val="22"/>
          <w:szCs w:val="22"/>
        </w:rPr>
        <w:t>5.2.1</w:t>
      </w:r>
      <w:r>
        <w:rPr>
          <w:sz w:val="22"/>
          <w:szCs w:val="22"/>
        </w:rPr>
        <w:fldChar w:fldCharType="end"/>
      </w:r>
      <w:r>
        <w:rPr>
          <w:sz w:val="22"/>
          <w:szCs w:val="22"/>
        </w:rPr>
        <w:t>). В любом случае этот срок должен быть не менее чем 90 (девяносто) календарных дней с даты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Указание меньшего срока действия заявки в Письме о подаче оферты (форма 2) (</w:t>
      </w:r>
      <w:hyperlink w:anchor="Прил04_ФормыЗаявки">
        <w:r>
          <w:rPr>
            <w:rStyle w:val="Style14"/>
            <w:sz w:val="22"/>
            <w:szCs w:val="22"/>
          </w:rPr>
          <w:t>Приложение № 4</w:t>
        </w:r>
      </w:hyperlink>
      <w:r>
        <w:rPr>
          <w:sz w:val="22"/>
          <w:szCs w:val="22"/>
        </w:rPr>
        <w:t>) может служить основанием для отклонения заявки.</w:t>
      </w:r>
    </w:p>
    <w:p>
      <w:pPr>
        <w:pStyle w:val="Style27"/>
        <w:rPr>
          <w:rFonts w:ascii="Times New Roman" w:hAnsi="Times New Roman"/>
          <w:sz w:val="22"/>
          <w:szCs w:val="22"/>
        </w:rPr>
      </w:pPr>
      <w:r>
        <w:rPr>
          <w:sz w:val="22"/>
          <w:szCs w:val="22"/>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7"/>
        <w:rPr>
          <w:rFonts w:ascii="Times New Roman" w:hAnsi="Times New Roman"/>
          <w:sz w:val="22"/>
          <w:szCs w:val="22"/>
        </w:rPr>
      </w:pPr>
      <w:r>
        <w:rPr>
          <w:sz w:val="22"/>
          <w:szCs w:val="22"/>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7"/>
        <w:rPr>
          <w:rFonts w:ascii="Times New Roman" w:hAnsi="Times New Roman"/>
          <w:sz w:val="22"/>
          <w:szCs w:val="22"/>
        </w:rPr>
      </w:pPr>
      <w:bookmarkStart w:id="112" w:name="_Ref125370700"/>
      <w:bookmarkStart w:id="113" w:name="_Ref125370708"/>
      <w:bookmarkEnd w:id="112"/>
      <w:bookmarkEnd w:id="113"/>
      <w:r>
        <w:rPr>
          <w:sz w:val="22"/>
          <w:szCs w:val="22"/>
        </w:rPr>
        <w:t>Итоговая стоимость заявки (цена Договора) без учета НДС не должна превышать установленную Заказчиком НМЦ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противном случае заявка будет отклонена.</w:t>
      </w:r>
    </w:p>
    <w:p>
      <w:pPr>
        <w:pStyle w:val="Style27"/>
        <w:rPr/>
      </w:pPr>
      <w:r>
        <w:rPr>
          <w:sz w:val="22"/>
          <w:szCs w:val="22"/>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4"/>
            <w:sz w:val="22"/>
            <w:szCs w:val="22"/>
          </w:rPr>
          <w:t>Техническими требованиями (Приложение № 1)</w:t>
        </w:r>
      </w:hyperlink>
      <w:r>
        <w:rPr>
          <w:sz w:val="22"/>
          <w:szCs w:val="22"/>
        </w:rPr>
        <w:t xml:space="preserve"> и </w:t>
      </w:r>
      <w:hyperlink w:anchor="Прил02_ПроектДоговора">
        <w:r>
          <w:rPr>
            <w:rStyle w:val="Style14"/>
            <w:sz w:val="22"/>
            <w:szCs w:val="22"/>
          </w:rPr>
          <w:t>Проектом договора (Приложение № 2)</w:t>
        </w:r>
      </w:hyperlink>
      <w:r>
        <w:rPr>
          <w:sz w:val="22"/>
          <w:szCs w:val="22"/>
        </w:rPr>
        <w:t>, а также сумму налогов (</w:t>
      </w:r>
      <w:r>
        <w:rPr>
          <w:rFonts w:cs="Times New Roman"/>
          <w:sz w:val="22"/>
          <w:szCs w:val="22"/>
        </w:rPr>
        <w:t>за исключением НДС, в случае его уплаты)</w:t>
      </w:r>
      <w:r>
        <w:rPr>
          <w:sz w:val="22"/>
          <w:szCs w:val="22"/>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p>
    <w:p>
      <w:pPr>
        <w:pStyle w:val="Style27"/>
        <w:rPr/>
      </w:pPr>
      <w:bookmarkStart w:id="114" w:name="_Ref164248735"/>
      <w:bookmarkStart w:id="115" w:name="_Ref125370700_Копия_1"/>
      <w:bookmarkStart w:id="116" w:name="_Ref125370708_Копия_1"/>
      <w:bookmarkEnd w:id="115"/>
      <w:bookmarkEnd w:id="116"/>
      <w:r>
        <w:rPr>
          <w:sz w:val="22"/>
          <w:szCs w:val="22"/>
        </w:rPr>
        <w:t>Нормы настоящего пункта применяются только,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r>
          <w:rPr>
            <w:rStyle w:val="Style14"/>
            <w:sz w:val="22"/>
            <w:szCs w:val="22"/>
          </w:rPr>
          <w:t>Приложение № 4</w:t>
        </w:r>
      </w:hyperlink>
      <w:r>
        <w:rPr>
          <w:sz w:val="22"/>
          <w:szCs w:val="22"/>
        </w:rPr>
        <w:t xml:space="preserve">), в виде согласия (декларации) на поставку продукции на условиях, указанных в Документации о закупке, в том числе в </w:t>
      </w:r>
      <w:hyperlink w:anchor="Прил01_ТехТребования">
        <w:r>
          <w:rPr>
            <w:rStyle w:val="Style14"/>
            <w:sz w:val="22"/>
            <w:szCs w:val="22"/>
          </w:rPr>
          <w:t>Технических требованиях (Приложение № 1)</w:t>
        </w:r>
      </w:hyperlink>
      <w:r>
        <w:rPr>
          <w:sz w:val="22"/>
          <w:szCs w:val="22"/>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bookmarkEnd w:id="114"/>
    </w:p>
    <w:p>
      <w:pPr>
        <w:pStyle w:val="Style27"/>
        <w:rPr/>
      </w:pPr>
      <w:bookmarkStart w:id="117" w:name="_Ref130379863"/>
      <w:r>
        <w:rPr>
          <w:sz w:val="22"/>
          <w:szCs w:val="22"/>
        </w:rPr>
        <w:t>Нормы настоящего пункта и пунктов </w:t>
      </w:r>
      <w:r>
        <w:rPr>
          <w:sz w:val="22"/>
          <w:szCs w:val="22"/>
        </w:rPr>
        <w:fldChar w:fldCharType="begin"/>
      </w:r>
      <w:r>
        <w:rPr>
          <w:sz w:val="22"/>
          <w:szCs w:val="22"/>
        </w:rPr>
        <w:instrText xml:space="preserve"> REF _Ref164248775 \r \h </w:instrText>
      </w:r>
      <w:r>
        <w:rPr>
          <w:sz w:val="22"/>
          <w:szCs w:val="22"/>
        </w:rPr>
        <w:fldChar w:fldCharType="separate"/>
      </w:r>
      <w:r>
        <w:rPr>
          <w:sz w:val="22"/>
          <w:szCs w:val="22"/>
        </w:rPr>
        <w:t>4.3.12</w:t>
      </w:r>
      <w:r>
        <w:rPr>
          <w:sz w:val="22"/>
          <w:szCs w:val="22"/>
        </w:rPr>
        <w:fldChar w:fldCharType="end"/>
      </w:r>
      <w:r>
        <w:rPr>
          <w:sz w:val="22"/>
          <w:szCs w:val="22"/>
        </w:rPr>
        <w:t xml:space="preserve"> – </w:t>
      </w:r>
      <w:r>
        <w:rPr>
          <w:sz w:val="22"/>
          <w:szCs w:val="22"/>
        </w:rPr>
        <w:fldChar w:fldCharType="begin"/>
      </w:r>
      <w:r>
        <w:rPr>
          <w:sz w:val="22"/>
          <w:szCs w:val="22"/>
        </w:rPr>
        <w:instrText xml:space="preserve"> REF _Ref130455500 \r \h </w:instrText>
      </w:r>
      <w:r>
        <w:rPr>
          <w:sz w:val="22"/>
          <w:szCs w:val="22"/>
        </w:rPr>
        <w:fldChar w:fldCharType="separate"/>
      </w:r>
      <w:r>
        <w:rPr>
          <w:sz w:val="22"/>
          <w:szCs w:val="22"/>
        </w:rPr>
        <w:t>4.3.15</w:t>
      </w:r>
      <w:r>
        <w:rPr>
          <w:sz w:val="22"/>
          <w:szCs w:val="22"/>
        </w:rPr>
        <w:fldChar w:fldCharType="end"/>
      </w:r>
      <w:r>
        <w:rPr>
          <w:sz w:val="22"/>
          <w:szCs w:val="22"/>
        </w:rPr>
        <w:t xml:space="preserve"> применяются только,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r>
          <w:rPr>
            <w:rStyle w:val="Style14"/>
            <w:sz w:val="22"/>
            <w:szCs w:val="22"/>
          </w:rPr>
          <w:t>Приложение № 4</w:t>
        </w:r>
      </w:hyperlink>
      <w:r>
        <w:rPr>
          <w:sz w:val="22"/>
          <w:szCs w:val="22"/>
        </w:rPr>
        <w:t>), в виде подробного предложения в отношении поставляемой продукции на условиях, указанных в Документации о закупке, в том числе в </w:t>
      </w:r>
      <w:hyperlink w:anchor="Прил01_ТехТребования">
        <w:r>
          <w:rPr>
            <w:rStyle w:val="Style14"/>
            <w:sz w:val="22"/>
            <w:szCs w:val="22"/>
          </w:rPr>
          <w:t>Технических требованиях (Приложение № 1)</w:t>
        </w:r>
      </w:hyperlink>
      <w:r>
        <w:rPr>
          <w:sz w:val="22"/>
          <w:szCs w:val="22"/>
        </w:rPr>
        <w:t>.</w:t>
      </w:r>
      <w:bookmarkEnd w:id="117"/>
    </w:p>
    <w:p>
      <w:pPr>
        <w:pStyle w:val="Style27"/>
        <w:rPr/>
      </w:pPr>
      <w:bookmarkStart w:id="118" w:name="_Ref164248775"/>
      <w:r>
        <w:rPr>
          <w:sz w:val="22"/>
          <w:szCs w:val="22"/>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r>
          <w:rPr>
            <w:rStyle w:val="Style14"/>
            <w:sz w:val="22"/>
            <w:szCs w:val="22"/>
          </w:rPr>
          <w:t>Технических требованиях (Приложение № 1)</w:t>
        </w:r>
      </w:hyperlink>
      <w:r>
        <w:rPr>
          <w:sz w:val="22"/>
          <w:szCs w:val="22"/>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18"/>
    </w:p>
    <w:p>
      <w:pPr>
        <w:pStyle w:val="Style27"/>
        <w:rPr/>
      </w:pPr>
      <w:r>
        <w:rPr>
          <w:sz w:val="22"/>
          <w:szCs w:val="22"/>
        </w:rPr>
        <w:t xml:space="preserve">Если в </w:t>
      </w:r>
      <w:hyperlink w:anchor="Прил01_ТехТребования">
        <w:r>
          <w:rPr>
            <w:rStyle w:val="Style14"/>
            <w:sz w:val="22"/>
            <w:szCs w:val="22"/>
          </w:rPr>
          <w:t>Технических требованиях (Приложение № 1)</w:t>
        </w:r>
      </w:hyperlink>
      <w:r>
        <w:rPr>
          <w:sz w:val="22"/>
          <w:szCs w:val="22"/>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r>
          <w:rPr>
            <w:rStyle w:val="Style14"/>
            <w:sz w:val="22"/>
            <w:szCs w:val="22"/>
          </w:rPr>
          <w:t>Технических требованиях (Приложение № 1)</w:t>
        </w:r>
      </w:hyperlink>
      <w:r>
        <w:rPr>
          <w:sz w:val="22"/>
          <w:szCs w:val="22"/>
        </w:rPr>
        <w:t>.</w:t>
      </w:r>
    </w:p>
    <w:p>
      <w:pPr>
        <w:pStyle w:val="Style27"/>
        <w:rPr/>
      </w:pPr>
      <w:bookmarkStart w:id="119" w:name="_Ref130379876"/>
      <w:r>
        <w:rPr>
          <w:sz w:val="22"/>
          <w:szCs w:val="22"/>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r>
          <w:rPr>
            <w:rStyle w:val="Style14"/>
            <w:sz w:val="22"/>
            <w:szCs w:val="22"/>
          </w:rPr>
          <w:t>Техническими требованиями (Приложение № 1)</w:t>
        </w:r>
      </w:hyperlink>
      <w:r>
        <w:rPr>
          <w:sz w:val="22"/>
          <w:szCs w:val="22"/>
        </w:rPr>
        <w:t>.</w:t>
      </w:r>
      <w:bookmarkEnd w:id="119"/>
    </w:p>
    <w:p>
      <w:pPr>
        <w:pStyle w:val="Style27"/>
        <w:rPr>
          <w:rFonts w:ascii="Times New Roman" w:hAnsi="Times New Roman"/>
          <w:sz w:val="22"/>
          <w:szCs w:val="22"/>
        </w:rPr>
      </w:pPr>
      <w:bookmarkStart w:id="120" w:name="_Ref130455500"/>
      <w:r>
        <w:rPr>
          <w:sz w:val="22"/>
          <w:szCs w:val="22"/>
        </w:rPr>
        <w:t>В случае нарушения Участником требований к описанию продукции (пункты </w:t>
      </w:r>
      <w:r>
        <w:rPr>
          <w:sz w:val="22"/>
          <w:szCs w:val="22"/>
        </w:rPr>
        <w:fldChar w:fldCharType="begin"/>
      </w:r>
      <w:r>
        <w:rPr>
          <w:sz w:val="22"/>
          <w:szCs w:val="22"/>
        </w:rPr>
        <w:instrText xml:space="preserve"> REF _Ref130379863 \r \h </w:instrText>
      </w:r>
      <w:r>
        <w:rPr>
          <w:sz w:val="22"/>
          <w:szCs w:val="22"/>
        </w:rPr>
        <w:fldChar w:fldCharType="separate"/>
      </w:r>
      <w:r>
        <w:rPr>
          <w:sz w:val="22"/>
          <w:szCs w:val="22"/>
        </w:rPr>
        <w:t>4.3.11</w:t>
      </w:r>
      <w:r>
        <w:rPr>
          <w:sz w:val="22"/>
          <w:szCs w:val="22"/>
        </w:rPr>
        <w:fldChar w:fldCharType="end"/>
      </w:r>
      <w:r>
        <w:rPr>
          <w:sz w:val="22"/>
          <w:szCs w:val="22"/>
        </w:rPr>
        <w:t xml:space="preserve"> – </w:t>
      </w:r>
      <w:r>
        <w:rPr>
          <w:sz w:val="22"/>
          <w:szCs w:val="22"/>
        </w:rPr>
        <w:fldChar w:fldCharType="begin"/>
      </w:r>
      <w:r>
        <w:rPr>
          <w:sz w:val="22"/>
          <w:szCs w:val="22"/>
        </w:rPr>
        <w:instrText xml:space="preserve"> REF _Ref130379876 \r \h </w:instrText>
      </w:r>
      <w:r>
        <w:rPr>
          <w:sz w:val="22"/>
          <w:szCs w:val="22"/>
        </w:rPr>
        <w:fldChar w:fldCharType="separate"/>
      </w:r>
      <w:r>
        <w:rPr>
          <w:sz w:val="22"/>
          <w:szCs w:val="22"/>
        </w:rPr>
        <w:t>4.3.14</w:t>
      </w:r>
      <w:r>
        <w:rPr>
          <w:sz w:val="22"/>
          <w:szCs w:val="22"/>
        </w:rPr>
        <w:fldChar w:fldCharType="end"/>
      </w:r>
      <w:r>
        <w:rPr>
          <w:sz w:val="22"/>
          <w:szCs w:val="22"/>
        </w:rPr>
        <w:t>) Организатор вправе отклонить заявку такого Участника от дальнейшего участия в закупке.</w:t>
      </w:r>
      <w:bookmarkEnd w:id="120"/>
    </w:p>
    <w:p>
      <w:pPr>
        <w:pStyle w:val="Style27"/>
        <w:keepNext w:val="true"/>
        <w:rPr>
          <w:rFonts w:ascii="Times New Roman" w:hAnsi="Times New Roman"/>
          <w:sz w:val="22"/>
          <w:szCs w:val="22"/>
        </w:rPr>
      </w:pPr>
      <w:r>
        <w:rPr>
          <w:sz w:val="22"/>
          <w:szCs w:val="22"/>
        </w:rPr>
        <w:t>При подготовке заявки необходимо также учитывать требования в отношении применения законодательства о национальном режиме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27"/>
        <w:keepNext w:val="true"/>
        <w:rPr>
          <w:rFonts w:ascii="Times New Roman" w:hAnsi="Times New Roman"/>
          <w:sz w:val="22"/>
          <w:szCs w:val="22"/>
        </w:rPr>
      </w:pPr>
      <w:r>
        <w:rPr>
          <w:sz w:val="22"/>
          <w:szCs w:val="22"/>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8"/>
        <w:rPr>
          <w:rFonts w:ascii="Times New Roman" w:hAnsi="Times New Roman"/>
          <w:sz w:val="22"/>
          <w:szCs w:val="22"/>
        </w:rPr>
      </w:pPr>
      <w:r>
        <w:rPr>
          <w:sz w:val="22"/>
          <w:szCs w:val="22"/>
        </w:rPr>
        <w:t>внутренние противоречия между различными частями и (или) документами заявки, в том числе по тексту внутри одного документа;</w:t>
      </w:r>
    </w:p>
    <w:p>
      <w:pPr>
        <w:pStyle w:val="Style28"/>
        <w:rPr>
          <w:rFonts w:ascii="Times New Roman" w:hAnsi="Times New Roman"/>
          <w:sz w:val="22"/>
          <w:szCs w:val="22"/>
        </w:rPr>
      </w:pPr>
      <w:bookmarkStart w:id="121" w:name="_Ref125370398"/>
      <w:bookmarkStart w:id="122" w:name="_Ref125714384"/>
      <w:r>
        <w:rPr>
          <w:sz w:val="22"/>
          <w:szCs w:val="22"/>
        </w:rPr>
        <w:t>противоречия между документами заявки и сведениями, указанными Участником в структурированных формах на ЭП.</w:t>
      </w:r>
      <w:bookmarkEnd w:id="121"/>
      <w:bookmarkEnd w:id="122"/>
    </w:p>
    <w:p>
      <w:pPr>
        <w:pStyle w:val="Style27"/>
        <w:rPr>
          <w:rFonts w:ascii="Times New Roman" w:hAnsi="Times New Roman"/>
          <w:sz w:val="22"/>
          <w:szCs w:val="22"/>
        </w:rPr>
      </w:pPr>
      <w:r>
        <w:rPr>
          <w:sz w:val="22"/>
          <w:szCs w:val="22"/>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8"/>
        <w:rPr>
          <w:rFonts w:ascii="Times New Roman" w:hAnsi="Times New Roman"/>
          <w:sz w:val="22"/>
          <w:szCs w:val="22"/>
        </w:rPr>
      </w:pPr>
      <w:r>
        <w:rPr>
          <w:sz w:val="22"/>
          <w:szCs w:val="22"/>
        </w:rPr>
        <w:t>полномочий таких органов / лиц на оформление этих документов;</w:t>
      </w:r>
    </w:p>
    <w:p>
      <w:pPr>
        <w:pStyle w:val="Style28"/>
        <w:rPr>
          <w:rFonts w:ascii="Times New Roman" w:hAnsi="Times New Roman"/>
          <w:sz w:val="22"/>
          <w:szCs w:val="22"/>
        </w:rPr>
      </w:pPr>
      <w:r>
        <w:rPr>
          <w:sz w:val="22"/>
          <w:szCs w:val="22"/>
        </w:rPr>
        <w:t>формы, объема и содержания этих документов.</w:t>
      </w:r>
    </w:p>
    <w:p>
      <w:pPr>
        <w:pStyle w:val="Style27"/>
        <w:keepNext w:val="true"/>
        <w:rPr>
          <w:rFonts w:ascii="Times New Roman" w:hAnsi="Times New Roman"/>
          <w:sz w:val="22"/>
          <w:szCs w:val="22"/>
        </w:rPr>
      </w:pPr>
      <w:r>
        <w:rPr>
          <w:sz w:val="22"/>
          <w:szCs w:val="22"/>
        </w:rPr>
        <w:t>Участник должен подготовить заявку с соблюдением следующих условий:</w:t>
      </w:r>
    </w:p>
    <w:p>
      <w:pPr>
        <w:pStyle w:val="Style28"/>
        <w:rPr>
          <w:rFonts w:ascii="Times New Roman" w:hAnsi="Times New Roman"/>
          <w:sz w:val="22"/>
          <w:szCs w:val="22"/>
        </w:rPr>
      </w:pPr>
      <w:r>
        <w:rPr>
          <w:sz w:val="22"/>
          <w:szCs w:val="22"/>
        </w:rPr>
        <w:t>документы заявки могут предоставляться как в графическом виде (в том числе в виде скан-копии; рекомендуемый формат: Portable Document Format (*.</w:t>
      </w:r>
      <w:r>
        <w:rPr>
          <w:sz w:val="22"/>
          <w:szCs w:val="22"/>
          <w:lang w:val="en-US"/>
        </w:rPr>
        <w:t>pdf</w:t>
      </w:r>
      <w:r>
        <w:rPr>
          <w:sz w:val="22"/>
          <w:szCs w:val="22"/>
        </w:rPr>
        <w:t>); так и в электронном виде (в формате Microsoft Word (*.doc</w:t>
      </w:r>
      <w:r>
        <w:rPr>
          <w:sz w:val="22"/>
          <w:szCs w:val="22"/>
          <w:lang w:val="en-US"/>
        </w:rPr>
        <w:t>x</w:t>
      </w:r>
      <w:r>
        <w:rPr>
          <w:sz w:val="22"/>
          <w:szCs w:val="22"/>
        </w:rPr>
        <w:t>), Microsoft Excel (*.xls</w:t>
      </w:r>
      <w:r>
        <w:rPr>
          <w:sz w:val="22"/>
          <w:szCs w:val="22"/>
          <w:lang w:val="en-US"/>
        </w:rPr>
        <w:t>x</w:t>
      </w:r>
      <w:r>
        <w:rPr>
          <w:sz w:val="22"/>
          <w:szCs w:val="22"/>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Portable Document Format (*.</w:t>
      </w:r>
      <w:r>
        <w:rPr>
          <w:sz w:val="22"/>
          <w:szCs w:val="22"/>
          <w:lang w:val="en-US"/>
        </w:rPr>
        <w:t>pdf</w:t>
      </w:r>
      <w:r>
        <w:rPr>
          <w:sz w:val="22"/>
          <w:szCs w:val="22"/>
        </w:rPr>
        <w:t>));</w:t>
      </w:r>
    </w:p>
    <w:p>
      <w:pPr>
        <w:pStyle w:val="Style28"/>
        <w:rPr>
          <w:rFonts w:ascii="Times New Roman" w:hAnsi="Times New Roman"/>
          <w:sz w:val="22"/>
          <w:szCs w:val="22"/>
        </w:rPr>
      </w:pPr>
      <w:r>
        <w:rPr>
          <w:sz w:val="22"/>
          <w:szCs w:val="22"/>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8"/>
        <w:rPr>
          <w:rFonts w:ascii="Times New Roman" w:hAnsi="Times New Roman"/>
          <w:sz w:val="22"/>
          <w:szCs w:val="22"/>
        </w:rPr>
      </w:pPr>
      <w:r>
        <w:rPr>
          <w:sz w:val="22"/>
          <w:szCs w:val="22"/>
        </w:rPr>
        <w:t>все файлы не должны иметь защиты от их открытия, изменения, копирования их содержимого или их печати;</w:t>
      </w:r>
    </w:p>
    <w:p>
      <w:pPr>
        <w:pStyle w:val="Style28"/>
        <w:rPr>
          <w:rFonts w:ascii="Times New Roman" w:hAnsi="Times New Roman"/>
          <w:sz w:val="22"/>
          <w:szCs w:val="22"/>
        </w:rPr>
      </w:pPr>
      <w:r>
        <w:rPr>
          <w:sz w:val="22"/>
          <w:szCs w:val="22"/>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8"/>
        <w:rPr>
          <w:rFonts w:ascii="Times New Roman" w:hAnsi="Times New Roman"/>
          <w:sz w:val="22"/>
          <w:szCs w:val="22"/>
        </w:rPr>
      </w:pPr>
      <w:r>
        <w:rPr>
          <w:sz w:val="22"/>
          <w:szCs w:val="22"/>
        </w:rPr>
        <w:t>если какой-либо документ представлен в нечитаемом виде, данный документ считается непредставленным.</w:t>
      </w:r>
    </w:p>
    <w:p>
      <w:pPr>
        <w:pStyle w:val="Style27"/>
        <w:rPr>
          <w:rFonts w:ascii="Times New Roman" w:hAnsi="Times New Roman"/>
          <w:sz w:val="22"/>
          <w:szCs w:val="22"/>
        </w:rPr>
      </w:pPr>
      <w:r>
        <w:rPr>
          <w:sz w:val="22"/>
          <w:szCs w:val="22"/>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6"/>
        <w:rPr>
          <w:rFonts w:ascii="Times New Roman" w:hAnsi="Times New Roman"/>
          <w:sz w:val="22"/>
          <w:szCs w:val="22"/>
        </w:rPr>
      </w:pPr>
      <w:bookmarkStart w:id="123" w:name="_Ref130394205"/>
      <w:bookmarkStart w:id="124" w:name="_Ref130394785"/>
      <w:bookmarkStart w:id="125" w:name="_Ref130394802"/>
      <w:bookmarkStart w:id="126" w:name="_Toc230928845"/>
      <w:bookmarkStart w:id="127" w:name="_Ref125361260"/>
      <w:bookmarkStart w:id="128" w:name="_Ref125362071"/>
      <w:bookmarkStart w:id="129" w:name="_Ref125366672"/>
      <w:r>
        <w:rPr>
          <w:sz w:val="22"/>
          <w:szCs w:val="22"/>
        </w:rPr>
        <w:t>Разъяснение Документации о закупке</w:t>
      </w:r>
      <w:bookmarkEnd w:id="123"/>
      <w:bookmarkEnd w:id="124"/>
      <w:bookmarkEnd w:id="125"/>
      <w:bookmarkEnd w:id="126"/>
      <w:bookmarkEnd w:id="127"/>
      <w:bookmarkEnd w:id="128"/>
      <w:bookmarkEnd w:id="129"/>
    </w:p>
    <w:p>
      <w:pPr>
        <w:pStyle w:val="Style27"/>
        <w:rPr>
          <w:rFonts w:ascii="Times New Roman" w:hAnsi="Times New Roman"/>
          <w:sz w:val="22"/>
          <w:szCs w:val="22"/>
        </w:rPr>
      </w:pPr>
      <w:r>
        <w:rPr>
          <w:sz w:val="22"/>
          <w:szCs w:val="22"/>
        </w:rPr>
        <w:t>Участники вправе обратиться к Организатору за разъяснениями Документации о закупке.</w:t>
      </w:r>
    </w:p>
    <w:p>
      <w:pPr>
        <w:pStyle w:val="Style27"/>
        <w:rPr>
          <w:rFonts w:ascii="Times New Roman" w:hAnsi="Times New Roman"/>
          <w:sz w:val="22"/>
          <w:szCs w:val="22"/>
        </w:rPr>
      </w:pPr>
      <w:r>
        <w:rPr>
          <w:sz w:val="22"/>
          <w:szCs w:val="22"/>
        </w:rPr>
        <w:t>Запросы подаются в соответствии с Регламентами и инструкциями Оператора ЭП, опубликованными на сайте соответствующей ЭП.</w:t>
      </w:r>
    </w:p>
    <w:p>
      <w:pPr>
        <w:pStyle w:val="Style27"/>
        <w:rPr>
          <w:rFonts w:ascii="Times New Roman" w:hAnsi="Times New Roman"/>
          <w:sz w:val="22"/>
          <w:szCs w:val="22"/>
        </w:rPr>
      </w:pPr>
      <w:r>
        <w:rPr>
          <w:sz w:val="22"/>
          <w:szCs w:val="22"/>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7"/>
        <w:rPr>
          <w:rFonts w:ascii="Times New Roman" w:hAnsi="Times New Roman"/>
          <w:sz w:val="22"/>
          <w:szCs w:val="22"/>
        </w:rPr>
      </w:pPr>
      <w:r>
        <w:rPr>
          <w:sz w:val="22"/>
          <w:szCs w:val="22"/>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7"/>
        <w:rPr>
          <w:rFonts w:ascii="Times New Roman" w:hAnsi="Times New Roman"/>
          <w:sz w:val="22"/>
          <w:szCs w:val="22"/>
        </w:rPr>
      </w:pPr>
      <w:r>
        <w:rPr>
          <w:sz w:val="22"/>
          <w:szCs w:val="22"/>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7"/>
        <w:rPr/>
      </w:pPr>
      <w:r>
        <w:rPr>
          <w:sz w:val="22"/>
          <w:szCs w:val="22"/>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4"/>
            <w:sz w:val="22"/>
            <w:szCs w:val="22"/>
          </w:rPr>
          <w:t>Проекта договора (Приложения № 2)</w:t>
        </w:r>
      </w:hyperlink>
      <w:r>
        <w:rPr>
          <w:rStyle w:val="Style14"/>
          <w:sz w:val="22"/>
          <w:szCs w:val="22"/>
        </w:rPr>
        <w:t>,</w:t>
      </w:r>
      <w:r>
        <w:rPr>
          <w:sz w:val="22"/>
          <w:szCs w:val="22"/>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7"/>
        <w:rPr>
          <w:rFonts w:ascii="Times New Roman" w:hAnsi="Times New Roman"/>
          <w:sz w:val="22"/>
          <w:szCs w:val="22"/>
        </w:rPr>
      </w:pPr>
      <w:r>
        <w:rPr>
          <w:sz w:val="22"/>
          <w:szCs w:val="22"/>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6"/>
        <w:rPr>
          <w:rFonts w:ascii="Times New Roman" w:hAnsi="Times New Roman"/>
          <w:sz w:val="22"/>
          <w:szCs w:val="22"/>
        </w:rPr>
      </w:pPr>
      <w:bookmarkStart w:id="130" w:name="_Ref125362076"/>
      <w:bookmarkStart w:id="131" w:name="_Ref125363891"/>
      <w:bookmarkStart w:id="132" w:name="_Ref125364404"/>
      <w:bookmarkStart w:id="133" w:name="_Toc230928846"/>
      <w:r>
        <w:rPr>
          <w:sz w:val="22"/>
          <w:szCs w:val="22"/>
        </w:rPr>
        <w:t>Изменения Извещения и (или) Документации о закупке</w:t>
      </w:r>
      <w:bookmarkEnd w:id="130"/>
      <w:bookmarkEnd w:id="131"/>
      <w:bookmarkEnd w:id="132"/>
      <w:bookmarkEnd w:id="133"/>
    </w:p>
    <w:p>
      <w:pPr>
        <w:pStyle w:val="Style27"/>
        <w:rPr>
          <w:rFonts w:ascii="Times New Roman" w:hAnsi="Times New Roman"/>
          <w:sz w:val="22"/>
          <w:szCs w:val="22"/>
        </w:rPr>
      </w:pPr>
      <w:r>
        <w:rPr>
          <w:sz w:val="22"/>
          <w:szCs w:val="22"/>
        </w:rPr>
        <w:t>Организатор в любой момент до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7"/>
        <w:rPr>
          <w:rFonts w:ascii="Times New Roman" w:hAnsi="Times New Roman"/>
          <w:sz w:val="22"/>
          <w:szCs w:val="22"/>
        </w:rPr>
      </w:pPr>
      <w:bookmarkStart w:id="134" w:name="_Ref125550844"/>
      <w:r>
        <w:rPr>
          <w:sz w:val="22"/>
          <w:szCs w:val="22"/>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пределах срока действия заявок и с уведомлением Участников, подавших заявки.</w:t>
      </w:r>
      <w:bookmarkEnd w:id="134"/>
    </w:p>
    <w:p>
      <w:pPr>
        <w:pStyle w:val="Style27"/>
        <w:rPr>
          <w:rFonts w:ascii="Times New Roman" w:hAnsi="Times New Roman"/>
          <w:sz w:val="22"/>
          <w:szCs w:val="22"/>
        </w:rPr>
      </w:pPr>
      <w:r>
        <w:rPr>
          <w:sz w:val="22"/>
          <w:szCs w:val="22"/>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7"/>
        <w:rPr>
          <w:rFonts w:ascii="Times New Roman" w:hAnsi="Times New Roman"/>
          <w:sz w:val="22"/>
          <w:szCs w:val="22"/>
        </w:rPr>
      </w:pPr>
      <w:bookmarkStart w:id="135" w:name="_Hlk135643673"/>
      <w:r>
        <w:rPr>
          <w:sz w:val="22"/>
          <w:szCs w:val="22"/>
        </w:rPr>
        <w:t>При внесении изменений в Документацию о закупке (за исключением указанного в пункте </w:t>
      </w:r>
      <w:r>
        <w:rPr>
          <w:sz w:val="22"/>
          <w:szCs w:val="22"/>
        </w:rPr>
        <w:fldChar w:fldCharType="begin"/>
      </w:r>
      <w:r>
        <w:rPr>
          <w:sz w:val="22"/>
          <w:szCs w:val="22"/>
        </w:rPr>
        <w:instrText xml:space="preserve"> REF _Ref125550844 \r \h </w:instrText>
      </w:r>
      <w:r>
        <w:rPr>
          <w:sz w:val="22"/>
          <w:szCs w:val="22"/>
        </w:rPr>
        <w:fldChar w:fldCharType="separate"/>
      </w:r>
      <w:r>
        <w:rPr>
          <w:sz w:val="22"/>
          <w:szCs w:val="22"/>
        </w:rPr>
        <w:t>4.5.2</w:t>
      </w:r>
      <w:r>
        <w:rPr>
          <w:sz w:val="22"/>
          <w:szCs w:val="22"/>
        </w:rPr>
        <w:fldChar w:fldCharType="end"/>
      </w:r>
      <w:r>
        <w:rPr>
          <w:sz w:val="22"/>
          <w:szCs w:val="22"/>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35"/>
      <w:r>
        <w:rPr>
          <w:sz w:val="22"/>
          <w:szCs w:val="22"/>
        </w:rPr>
        <w:t xml:space="preserve"> 8 (восьми) календарных дней.</w:t>
      </w:r>
    </w:p>
    <w:p>
      <w:pPr>
        <w:pStyle w:val="Style27"/>
        <w:rPr>
          <w:rFonts w:ascii="Times New Roman" w:hAnsi="Times New Roman"/>
          <w:sz w:val="22"/>
          <w:szCs w:val="22"/>
        </w:rPr>
      </w:pPr>
      <w:r>
        <w:rPr>
          <w:sz w:val="22"/>
          <w:szCs w:val="22"/>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6"/>
        <w:rPr>
          <w:rFonts w:ascii="Times New Roman" w:hAnsi="Times New Roman"/>
          <w:sz w:val="22"/>
          <w:szCs w:val="22"/>
        </w:rPr>
      </w:pPr>
      <w:bookmarkStart w:id="136" w:name="_Ref125362119"/>
      <w:bookmarkStart w:id="137" w:name="_Toc230928847"/>
      <w:r>
        <w:rPr>
          <w:sz w:val="22"/>
          <w:szCs w:val="22"/>
        </w:rPr>
        <w:t>Подача заявок и их прием</w:t>
      </w:r>
      <w:bookmarkEnd w:id="136"/>
      <w:bookmarkEnd w:id="137"/>
    </w:p>
    <w:p>
      <w:pPr>
        <w:pStyle w:val="Style27"/>
        <w:rPr>
          <w:rFonts w:ascii="Times New Roman" w:hAnsi="Times New Roman"/>
          <w:sz w:val="22"/>
          <w:szCs w:val="22"/>
        </w:rPr>
      </w:pPr>
      <w:r>
        <w:rPr>
          <w:sz w:val="22"/>
          <w:szCs w:val="22"/>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Заявки, поданные позднее установленного срока, не могут быть приняты Организатором, независимо от причин опоздания.</w:t>
      </w:r>
    </w:p>
    <w:p>
      <w:pPr>
        <w:pStyle w:val="Style27"/>
        <w:rPr>
          <w:rFonts w:ascii="Times New Roman" w:hAnsi="Times New Roman"/>
          <w:sz w:val="22"/>
          <w:szCs w:val="22"/>
        </w:rPr>
      </w:pPr>
      <w:r>
        <w:rPr>
          <w:sz w:val="22"/>
          <w:szCs w:val="22"/>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7"/>
        <w:rPr>
          <w:rFonts w:ascii="Times New Roman" w:hAnsi="Times New Roman"/>
          <w:sz w:val="22"/>
          <w:szCs w:val="22"/>
        </w:rPr>
      </w:pPr>
      <w:r>
        <w:rPr>
          <w:sz w:val="22"/>
          <w:szCs w:val="22"/>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7"/>
        <w:rPr>
          <w:rFonts w:ascii="Times New Roman" w:hAnsi="Times New Roman"/>
          <w:sz w:val="22"/>
          <w:szCs w:val="22"/>
        </w:rPr>
      </w:pPr>
      <w:r>
        <w:rPr>
          <w:sz w:val="22"/>
          <w:szCs w:val="22"/>
        </w:rPr>
        <w:t>Заявка должна быть подписана усиленной квалифицированной электронной подписью лица, которое является уполномоченным представителем Участника.</w:t>
      </w:r>
    </w:p>
    <w:p>
      <w:pPr>
        <w:pStyle w:val="Style27"/>
        <w:rPr>
          <w:rFonts w:ascii="Times New Roman" w:hAnsi="Times New Roman"/>
          <w:sz w:val="22"/>
          <w:szCs w:val="22"/>
        </w:rPr>
      </w:pPr>
      <w:r>
        <w:rPr>
          <w:sz w:val="22"/>
          <w:szCs w:val="22"/>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7"/>
        <w:rPr>
          <w:rFonts w:ascii="Times New Roman" w:hAnsi="Times New Roman"/>
          <w:sz w:val="22"/>
          <w:szCs w:val="22"/>
        </w:rPr>
      </w:pPr>
      <w:r>
        <w:rPr>
          <w:sz w:val="22"/>
          <w:szCs w:val="22"/>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7"/>
        <w:rPr>
          <w:rFonts w:ascii="Times New Roman" w:hAnsi="Times New Roman"/>
          <w:sz w:val="22"/>
          <w:szCs w:val="22"/>
        </w:rPr>
      </w:pPr>
      <w:r>
        <w:rPr>
          <w:sz w:val="22"/>
          <w:szCs w:val="22"/>
        </w:rPr>
        <w:t>Оператор ЭП до окончания срока подачи заявок обеспечивает конфиденциальность информации, содержащейся в поданных заявках.</w:t>
      </w:r>
    </w:p>
    <w:p>
      <w:pPr>
        <w:pStyle w:val="Style26"/>
        <w:rPr>
          <w:rFonts w:ascii="Times New Roman" w:hAnsi="Times New Roman"/>
          <w:sz w:val="22"/>
          <w:szCs w:val="22"/>
        </w:rPr>
      </w:pPr>
      <w:bookmarkStart w:id="138" w:name="_Ref125362130"/>
      <w:bookmarkStart w:id="139" w:name="_Ref125362192"/>
      <w:bookmarkStart w:id="140" w:name="_Ref125363819"/>
      <w:bookmarkStart w:id="141" w:name="_Ref125365136"/>
      <w:bookmarkStart w:id="142" w:name="_Toc230928848"/>
      <w:r>
        <w:rPr>
          <w:sz w:val="22"/>
          <w:szCs w:val="22"/>
        </w:rPr>
        <w:t>Изменение и отзыв заявок</w:t>
      </w:r>
      <w:bookmarkEnd w:id="138"/>
      <w:bookmarkEnd w:id="139"/>
      <w:bookmarkEnd w:id="140"/>
      <w:bookmarkEnd w:id="141"/>
      <w:bookmarkEnd w:id="142"/>
    </w:p>
    <w:p>
      <w:pPr>
        <w:pStyle w:val="Style27"/>
        <w:rPr>
          <w:rFonts w:ascii="Times New Roman" w:hAnsi="Times New Roman"/>
          <w:sz w:val="22"/>
          <w:szCs w:val="22"/>
        </w:rPr>
      </w:pPr>
      <w:r>
        <w:rPr>
          <w:sz w:val="22"/>
          <w:szCs w:val="22"/>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7"/>
        <w:rPr>
          <w:rFonts w:ascii="Times New Roman" w:hAnsi="Times New Roman"/>
          <w:sz w:val="22"/>
          <w:szCs w:val="22"/>
        </w:rPr>
      </w:pPr>
      <w:r>
        <w:rPr>
          <w:sz w:val="22"/>
          <w:szCs w:val="22"/>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7"/>
        <w:rPr>
          <w:rFonts w:ascii="Times New Roman" w:hAnsi="Times New Roman"/>
          <w:sz w:val="22"/>
          <w:szCs w:val="22"/>
        </w:rPr>
      </w:pPr>
      <w:r>
        <w:rPr>
          <w:sz w:val="22"/>
          <w:szCs w:val="22"/>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sz w:val="22"/>
          <w:szCs w:val="22"/>
        </w:rPr>
        <w:fldChar w:fldCharType="begin"/>
      </w:r>
      <w:r>
        <w:rPr>
          <w:sz w:val="22"/>
          <w:szCs w:val="22"/>
        </w:rPr>
        <w:instrText xml:space="preserve"> REF _Ref125362119 \w \h </w:instrText>
      </w:r>
      <w:r>
        <w:rPr>
          <w:sz w:val="22"/>
          <w:szCs w:val="22"/>
        </w:rPr>
        <w:fldChar w:fldCharType="separate"/>
      </w:r>
      <w:r>
        <w:rPr>
          <w:sz w:val="22"/>
          <w:szCs w:val="22"/>
        </w:rPr>
        <w:t>4.6</w:t>
      </w:r>
      <w:r>
        <w:rPr>
          <w:sz w:val="22"/>
          <w:szCs w:val="22"/>
        </w:rPr>
        <w:fldChar w:fldCharType="end"/>
      </w:r>
      <w:r>
        <w:rPr>
          <w:sz w:val="22"/>
          <w:szCs w:val="22"/>
        </w:rPr>
        <w:t>.</w:t>
      </w:r>
    </w:p>
    <w:p>
      <w:pPr>
        <w:pStyle w:val="Style27"/>
        <w:rPr>
          <w:rFonts w:ascii="Times New Roman" w:hAnsi="Times New Roman"/>
          <w:sz w:val="22"/>
          <w:szCs w:val="22"/>
        </w:rPr>
      </w:pPr>
      <w:r>
        <w:rPr>
          <w:sz w:val="22"/>
          <w:szCs w:val="22"/>
        </w:rPr>
        <w:t>Изменения и отзыв заявки осуществляется посредством функционала ЭП (подробный порядок определяется Регламентом ЭП).</w:t>
      </w:r>
    </w:p>
    <w:p>
      <w:pPr>
        <w:pStyle w:val="Style26"/>
        <w:rPr>
          <w:rFonts w:ascii="Times New Roman" w:hAnsi="Times New Roman"/>
          <w:sz w:val="22"/>
          <w:szCs w:val="22"/>
        </w:rPr>
      </w:pPr>
      <w:bookmarkStart w:id="143" w:name="_Ref130221619"/>
      <w:bookmarkStart w:id="144" w:name="_Toc230928849"/>
      <w:bookmarkStart w:id="145" w:name="_Ref125364340"/>
      <w:bookmarkEnd w:id="145"/>
      <w:r>
        <w:rPr>
          <w:sz w:val="22"/>
          <w:szCs w:val="22"/>
        </w:rPr>
        <w:t>Открытие доступа к заявкам</w:t>
      </w:r>
      <w:bookmarkEnd w:id="143"/>
      <w:bookmarkEnd w:id="144"/>
    </w:p>
    <w:p>
      <w:pPr>
        <w:pStyle w:val="Style27"/>
        <w:rPr>
          <w:rFonts w:ascii="Times New Roman" w:hAnsi="Times New Roman"/>
          <w:sz w:val="22"/>
          <w:szCs w:val="22"/>
        </w:rPr>
      </w:pPr>
      <w:r>
        <w:rPr>
          <w:sz w:val="22"/>
          <w:szCs w:val="22"/>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27"/>
        <w:rPr>
          <w:rFonts w:ascii="Times New Roman" w:hAnsi="Times New Roman"/>
          <w:sz w:val="22"/>
          <w:szCs w:val="22"/>
        </w:rPr>
      </w:pPr>
      <w:r>
        <w:rPr>
          <w:sz w:val="22"/>
          <w:szCs w:val="22"/>
        </w:rPr>
        <w:t>Оператор ЭП предоставляет Организатору доступ одновременно ко всем поданным заявкам в полном объеме.</w:t>
      </w:r>
    </w:p>
    <w:p>
      <w:pPr>
        <w:pStyle w:val="Style27"/>
        <w:keepNext w:val="true"/>
        <w:rPr>
          <w:rFonts w:ascii="Times New Roman" w:hAnsi="Times New Roman"/>
          <w:sz w:val="22"/>
          <w:szCs w:val="22"/>
        </w:rPr>
      </w:pPr>
      <w:r>
        <w:rPr>
          <w:sz w:val="22"/>
          <w:szCs w:val="22"/>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sz w:val="22"/>
          <w:szCs w:val="22"/>
        </w:rPr>
        <w:footnoteReference w:id="4"/>
      </w:r>
      <w:r>
        <w:rPr>
          <w:sz w:val="22"/>
          <w:szCs w:val="22"/>
        </w:rPr>
        <w:t>:</w:t>
      </w:r>
    </w:p>
    <w:p>
      <w:pPr>
        <w:pStyle w:val="Style28"/>
        <w:rPr>
          <w:rFonts w:ascii="Times New Roman" w:hAnsi="Times New Roman"/>
          <w:sz w:val="22"/>
          <w:szCs w:val="22"/>
        </w:rPr>
      </w:pPr>
      <w:r>
        <w:rPr>
          <w:sz w:val="22"/>
          <w:szCs w:val="22"/>
        </w:rPr>
        <w:t>дата подписания протокола;</w:t>
      </w:r>
    </w:p>
    <w:p>
      <w:pPr>
        <w:pStyle w:val="Style28"/>
        <w:rPr>
          <w:rFonts w:ascii="Times New Roman" w:hAnsi="Times New Roman"/>
          <w:sz w:val="22"/>
          <w:szCs w:val="22"/>
        </w:rPr>
      </w:pPr>
      <w:r>
        <w:rPr>
          <w:sz w:val="22"/>
          <w:szCs w:val="22"/>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rFonts w:ascii="Times New Roman" w:hAnsi="Times New Roman"/>
          <w:sz w:val="22"/>
          <w:szCs w:val="22"/>
        </w:rPr>
      </w:pPr>
      <w:r>
        <w:rPr>
          <w:sz w:val="22"/>
          <w:szCs w:val="22"/>
        </w:rPr>
        <w:t>наименование и адрес регистрации Участников, подавших заявки, и (или) их идентификационные номера, присваиваемые Оператором ЭП;</w:t>
      </w:r>
    </w:p>
    <w:p>
      <w:pPr>
        <w:pStyle w:val="Style28"/>
        <w:rPr>
          <w:rFonts w:ascii="Times New Roman" w:hAnsi="Times New Roman"/>
          <w:sz w:val="22"/>
          <w:szCs w:val="22"/>
        </w:rPr>
      </w:pPr>
      <w:r>
        <w:rPr>
          <w:sz w:val="22"/>
          <w:szCs w:val="22"/>
        </w:rPr>
        <w:t>стоимости заявок (или иное указание на общую стоимость заявки);</w:t>
      </w:r>
    </w:p>
    <w:p>
      <w:pPr>
        <w:pStyle w:val="Style28"/>
        <w:rPr>
          <w:rFonts w:ascii="Times New Roman" w:hAnsi="Times New Roman"/>
          <w:sz w:val="22"/>
          <w:szCs w:val="22"/>
        </w:rPr>
      </w:pPr>
      <w:r>
        <w:rPr>
          <w:sz w:val="22"/>
          <w:szCs w:val="22"/>
        </w:rPr>
        <w:t>причины, по которым закупка признана несостоявшейся в соответствии с подразделом </w:t>
      </w:r>
      <w:r>
        <w:rPr>
          <w:sz w:val="22"/>
          <w:szCs w:val="22"/>
        </w:rPr>
        <w:fldChar w:fldCharType="begin"/>
      </w:r>
      <w:r>
        <w:rPr>
          <w:sz w:val="22"/>
          <w:szCs w:val="22"/>
        </w:rPr>
        <w:instrText xml:space="preserve"> REF _Ref125364149 \w \h </w:instrText>
      </w:r>
      <w:r>
        <w:rPr>
          <w:sz w:val="22"/>
          <w:szCs w:val="22"/>
        </w:rPr>
        <w:fldChar w:fldCharType="separate"/>
      </w:r>
      <w:r>
        <w:rPr>
          <w:sz w:val="22"/>
          <w:szCs w:val="22"/>
        </w:rPr>
        <w:t>4.15</w:t>
      </w:r>
      <w:r>
        <w:rPr>
          <w:sz w:val="22"/>
          <w:szCs w:val="22"/>
        </w:rPr>
        <w:fldChar w:fldCharType="end"/>
      </w:r>
      <w:r>
        <w:rPr>
          <w:sz w:val="22"/>
          <w:szCs w:val="22"/>
        </w:rPr>
        <w:t xml:space="preserve"> (в случае ее признания таковой),</w:t>
      </w:r>
    </w:p>
    <w:p>
      <w:pPr>
        <w:pStyle w:val="Style31"/>
        <w:ind w:left="1134"/>
        <w:rPr>
          <w:rFonts w:ascii="Times New Roman" w:hAnsi="Times New Roman"/>
          <w:sz w:val="22"/>
          <w:szCs w:val="22"/>
        </w:rPr>
      </w:pPr>
      <w:r>
        <w:rPr>
          <w:sz w:val="22"/>
          <w:szCs w:val="22"/>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27"/>
        <w:rPr>
          <w:rFonts w:ascii="Times New Roman" w:hAnsi="Times New Roman"/>
          <w:sz w:val="22"/>
          <w:szCs w:val="22"/>
        </w:rPr>
      </w:pPr>
      <w:r>
        <w:rPr>
          <w:sz w:val="22"/>
          <w:szCs w:val="22"/>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27"/>
        <w:rPr>
          <w:rFonts w:ascii="Times New Roman" w:hAnsi="Times New Roman"/>
          <w:sz w:val="22"/>
          <w:szCs w:val="22"/>
        </w:rPr>
      </w:pPr>
      <w:r>
        <w:rPr>
          <w:sz w:val="22"/>
          <w:szCs w:val="22"/>
        </w:rPr>
        <w:t>Порядок получения Участниками информации о поступивших заявках через ЭП определяется Регламентом ЭП.</w:t>
      </w:r>
    </w:p>
    <w:p>
      <w:pPr>
        <w:pStyle w:val="Style26"/>
        <w:rPr>
          <w:rFonts w:ascii="Times New Roman" w:hAnsi="Times New Roman"/>
          <w:sz w:val="22"/>
          <w:szCs w:val="22"/>
        </w:rPr>
      </w:pPr>
      <w:bookmarkStart w:id="146" w:name="_Ref135749133"/>
      <w:bookmarkStart w:id="147" w:name="_Toc230928850"/>
      <w:bookmarkStart w:id="148" w:name="_Ref125362364"/>
      <w:bookmarkStart w:id="149" w:name="_Ref125366689"/>
      <w:bookmarkStart w:id="150" w:name="_Ref125364340_Копия_1"/>
      <w:bookmarkEnd w:id="150"/>
      <w:r>
        <w:rPr>
          <w:sz w:val="22"/>
          <w:szCs w:val="22"/>
        </w:rPr>
        <w:t>Рассмотрение заявок (отборочная стадия)</w:t>
      </w:r>
      <w:bookmarkEnd w:id="148"/>
      <w:bookmarkEnd w:id="149"/>
      <w:r>
        <w:rPr>
          <w:sz w:val="22"/>
          <w:szCs w:val="22"/>
        </w:rPr>
        <w:t>, в том числе (при необходимости) проведение аккредитации</w:t>
      </w:r>
      <w:bookmarkEnd w:id="146"/>
      <w:bookmarkEnd w:id="147"/>
    </w:p>
    <w:p>
      <w:pPr>
        <w:pStyle w:val="Style27"/>
        <w:rPr>
          <w:rFonts w:ascii="Times New Roman" w:hAnsi="Times New Roman"/>
          <w:sz w:val="22"/>
          <w:szCs w:val="22"/>
        </w:rPr>
      </w:pPr>
      <w:r>
        <w:rPr>
          <w:sz w:val="22"/>
          <w:szCs w:val="22"/>
        </w:rPr>
        <w:t>Дата окончания срока рассмотрения заявок установлена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Организатор по согласованию с Заказчиком вправе, при необходимости, изменить ее, официально разместив информацию об этом.</w:t>
      </w:r>
    </w:p>
    <w:p>
      <w:pPr>
        <w:pStyle w:val="Style27"/>
        <w:rPr/>
      </w:pPr>
      <w:r>
        <w:rPr>
          <w:sz w:val="22"/>
          <w:szCs w:val="22"/>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4"/>
            <w:sz w:val="22"/>
            <w:szCs w:val="22"/>
          </w:rPr>
          <w:t>Отборочным критериям рассмотрения заявок (Приложение № 7)</w:t>
        </w:r>
      </w:hyperlink>
      <w:r>
        <w:rPr>
          <w:sz w:val="22"/>
          <w:szCs w:val="22"/>
        </w:rPr>
        <w:t>, в том числе проводится процедура аккредитации Участников (при необходимости).</w:t>
      </w:r>
    </w:p>
    <w:p>
      <w:pPr>
        <w:pStyle w:val="Style27"/>
        <w:rPr>
          <w:rFonts w:ascii="Times New Roman" w:hAnsi="Times New Roman"/>
          <w:sz w:val="22"/>
          <w:szCs w:val="22"/>
        </w:rPr>
      </w:pPr>
      <w:r>
        <w:rPr>
          <w:sz w:val="22"/>
          <w:szCs w:val="22"/>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7"/>
        <w:keepNext w:val="true"/>
        <w:rPr>
          <w:rFonts w:ascii="Times New Roman" w:hAnsi="Times New Roman"/>
          <w:sz w:val="22"/>
          <w:szCs w:val="22"/>
        </w:rPr>
      </w:pPr>
      <w:bookmarkStart w:id="151" w:name="_Ref224833137"/>
      <w:r>
        <w:rPr>
          <w:sz w:val="22"/>
          <w:szCs w:val="22"/>
        </w:rPr>
        <w:t>При выявлении в рамках рассмотрения заявок наличия арифметических ошибок, в том числе:</w:t>
      </w:r>
      <w:bookmarkEnd w:id="151"/>
    </w:p>
    <w:p>
      <w:pPr>
        <w:pStyle w:val="Style28"/>
        <w:rPr>
          <w:rFonts w:ascii="Times New Roman" w:hAnsi="Times New Roman"/>
          <w:sz w:val="22"/>
          <w:szCs w:val="22"/>
        </w:rPr>
      </w:pPr>
      <w:r>
        <w:rPr>
          <w:sz w:val="22"/>
          <w:szCs w:val="22"/>
        </w:rPr>
        <w:t>в результате суммирования единичных расценок;</w:t>
      </w:r>
    </w:p>
    <w:p>
      <w:pPr>
        <w:pStyle w:val="Style28"/>
        <w:rPr>
          <w:rFonts w:ascii="Times New Roman" w:hAnsi="Times New Roman"/>
          <w:sz w:val="22"/>
          <w:szCs w:val="22"/>
        </w:rPr>
      </w:pPr>
      <w:r>
        <w:rPr>
          <w:sz w:val="22"/>
          <w:szCs w:val="22"/>
        </w:rPr>
        <w:t>в итогах умножения единичных расценок на объем продукции;</w:t>
      </w:r>
    </w:p>
    <w:p>
      <w:pPr>
        <w:pStyle w:val="Style28"/>
        <w:rPr>
          <w:rFonts w:ascii="Times New Roman" w:hAnsi="Times New Roman"/>
          <w:sz w:val="22"/>
          <w:szCs w:val="22"/>
        </w:rPr>
      </w:pPr>
      <w:r>
        <w:rPr>
          <w:sz w:val="22"/>
          <w:szCs w:val="22"/>
        </w:rPr>
        <w:t>в вычислении суммы НДС и итоговой стоимости заявки с учетом НДС;</w:t>
      </w:r>
    </w:p>
    <w:p>
      <w:pPr>
        <w:pStyle w:val="Style28"/>
        <w:rPr>
          <w:rFonts w:ascii="Times New Roman" w:hAnsi="Times New Roman"/>
          <w:sz w:val="22"/>
          <w:szCs w:val="22"/>
        </w:rPr>
      </w:pPr>
      <w:r>
        <w:rPr>
          <w:sz w:val="22"/>
          <w:szCs w:val="22"/>
        </w:rPr>
        <w:t>иных внутренних противоречий в составе заявки,</w:t>
      </w:r>
    </w:p>
    <w:p>
      <w:pPr>
        <w:pStyle w:val="Style31"/>
        <w:ind w:left="1134"/>
        <w:rPr>
          <w:rFonts w:ascii="Times New Roman" w:hAnsi="Times New Roman"/>
          <w:sz w:val="22"/>
          <w:szCs w:val="22"/>
        </w:rPr>
      </w:pPr>
      <w:r>
        <w:rPr>
          <w:sz w:val="22"/>
          <w:szCs w:val="22"/>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7"/>
        <w:keepNext w:val="true"/>
        <w:rPr>
          <w:rFonts w:ascii="Times New Roman" w:hAnsi="Times New Roman"/>
          <w:sz w:val="22"/>
          <w:szCs w:val="22"/>
        </w:rPr>
      </w:pPr>
      <w:bookmarkStart w:id="152" w:name="_Ref125551456"/>
      <w:r>
        <w:rPr>
          <w:sz w:val="22"/>
          <w:szCs w:val="22"/>
        </w:rPr>
        <w:t>По результатам рассмотрения заявок (проведения отборочной стадии) Закупочная комиссия отклоняет заявки по следующим основаниям:</w:t>
      </w:r>
      <w:bookmarkEnd w:id="152"/>
    </w:p>
    <w:p>
      <w:pPr>
        <w:pStyle w:val="Style28"/>
        <w:rPr>
          <w:rFonts w:ascii="Times New Roman" w:hAnsi="Times New Roman"/>
          <w:sz w:val="22"/>
          <w:szCs w:val="22"/>
        </w:rPr>
      </w:pPr>
      <w:r>
        <w:rPr>
          <w:sz w:val="22"/>
          <w:szCs w:val="22"/>
        </w:rPr>
        <w:t>несоответствие по составу</w:t>
      </w:r>
      <w:r>
        <w:rPr>
          <w:rStyle w:val="FootnoteReference"/>
          <w:sz w:val="22"/>
          <w:szCs w:val="22"/>
        </w:rPr>
        <w:footnoteReference w:id="5"/>
      </w:r>
      <w:r>
        <w:rPr>
          <w:sz w:val="22"/>
          <w:szCs w:val="22"/>
        </w:rPr>
        <w:t>, содержанию и соблюдению требований Документации о закупке к подготовке (оформлению) заявки, в том числе наличие:</w:t>
      </w:r>
    </w:p>
    <w:p>
      <w:pPr>
        <w:pStyle w:val="Style29"/>
        <w:rPr>
          <w:rFonts w:ascii="Times New Roman" w:hAnsi="Times New Roman"/>
          <w:sz w:val="22"/>
          <w:szCs w:val="22"/>
        </w:rPr>
      </w:pPr>
      <w:r>
        <w:rPr>
          <w:sz w:val="22"/>
          <w:szCs w:val="22"/>
        </w:rPr>
        <w:t>недостоверных сведений</w:t>
      </w:r>
      <w:r>
        <w:rPr>
          <w:rStyle w:val="FootnoteReference"/>
          <w:sz w:val="22"/>
          <w:szCs w:val="22"/>
        </w:rPr>
        <w:footnoteReference w:id="6"/>
      </w:r>
      <w:r>
        <w:rPr>
          <w:sz w:val="22"/>
          <w:szCs w:val="22"/>
        </w:rPr>
        <w:t xml:space="preserve"> или намеренно искаженной информации или документов;</w:t>
      </w:r>
    </w:p>
    <w:p>
      <w:pPr>
        <w:pStyle w:val="Style29"/>
        <w:rPr>
          <w:rFonts w:ascii="Times New Roman" w:hAnsi="Times New Roman"/>
          <w:sz w:val="22"/>
          <w:szCs w:val="22"/>
        </w:rPr>
      </w:pPr>
      <w:r>
        <w:rPr>
          <w:sz w:val="22"/>
          <w:szCs w:val="22"/>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sz w:val="22"/>
          <w:szCs w:val="22"/>
        </w:rPr>
        <w:fldChar w:fldCharType="begin"/>
      </w:r>
      <w:r>
        <w:rPr>
          <w:sz w:val="22"/>
          <w:szCs w:val="22"/>
        </w:rPr>
        <w:instrText xml:space="preserve"> REF _Ref224833137 \r \h </w:instrText>
      </w:r>
      <w:r>
        <w:rPr>
          <w:sz w:val="22"/>
          <w:szCs w:val="22"/>
        </w:rPr>
        <w:fldChar w:fldCharType="separate"/>
      </w:r>
      <w:r>
        <w:rPr>
          <w:sz w:val="22"/>
          <w:szCs w:val="22"/>
        </w:rPr>
        <w:t>4.9.4</w:t>
      </w:r>
      <w:r>
        <w:rPr>
          <w:sz w:val="22"/>
          <w:szCs w:val="22"/>
        </w:rPr>
        <w:fldChar w:fldCharType="end"/>
      </w:r>
      <w:r>
        <w:rPr>
          <w:sz w:val="22"/>
          <w:szCs w:val="22"/>
        </w:rPr>
        <w:t>);</w:t>
      </w:r>
    </w:p>
    <w:p>
      <w:pPr>
        <w:pStyle w:val="Style28"/>
        <w:rPr>
          <w:rFonts w:ascii="Times New Roman" w:hAnsi="Times New Roman"/>
          <w:sz w:val="22"/>
          <w:szCs w:val="22"/>
        </w:rPr>
      </w:pPr>
      <w:r>
        <w:rPr>
          <w:sz w:val="22"/>
          <w:szCs w:val="22"/>
        </w:rPr>
        <w:t>несоответствие Участников требованиям Документации о закупке;</w:t>
      </w:r>
    </w:p>
    <w:p>
      <w:pPr>
        <w:pStyle w:val="Style28"/>
        <w:rPr>
          <w:rFonts w:ascii="Times New Roman" w:hAnsi="Times New Roman"/>
          <w:sz w:val="22"/>
          <w:szCs w:val="22"/>
        </w:rPr>
      </w:pPr>
      <w:r>
        <w:rPr>
          <w:sz w:val="22"/>
          <w:szCs w:val="22"/>
        </w:rPr>
        <w:t>несоответствие привлекаемых субподрядчиков (соисполнителей) требованиям Документации о закупке;</w:t>
      </w:r>
    </w:p>
    <w:p>
      <w:pPr>
        <w:pStyle w:val="Style28"/>
        <w:rPr>
          <w:rFonts w:ascii="Times New Roman" w:hAnsi="Times New Roman"/>
          <w:sz w:val="22"/>
          <w:szCs w:val="22"/>
        </w:rPr>
      </w:pPr>
      <w:r>
        <w:rPr>
          <w:sz w:val="22"/>
          <w:szCs w:val="22"/>
        </w:rPr>
        <w:t>несоответствие предлагаемой продукции требованиям Документации о закупке, в том числе порядка описания такой продукции;</w:t>
      </w:r>
    </w:p>
    <w:p>
      <w:pPr>
        <w:pStyle w:val="Style28"/>
        <w:rPr>
          <w:rFonts w:ascii="Times New Roman" w:hAnsi="Times New Roman"/>
          <w:sz w:val="22"/>
          <w:szCs w:val="22"/>
        </w:rPr>
      </w:pPr>
      <w:r>
        <w:rPr>
          <w:sz w:val="22"/>
          <w:szCs w:val="22"/>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8"/>
        <w:rPr>
          <w:rFonts w:ascii="Times New Roman" w:hAnsi="Times New Roman"/>
          <w:sz w:val="22"/>
          <w:szCs w:val="22"/>
        </w:rPr>
      </w:pPr>
      <w:r>
        <w:rPr>
          <w:sz w:val="22"/>
          <w:szCs w:val="22"/>
        </w:rPr>
        <w:t>несоответствие размера, формы, условий и порядка предоставления обеспечения заявки.</w:t>
      </w:r>
    </w:p>
    <w:p>
      <w:pPr>
        <w:pStyle w:val="Style27"/>
        <w:rPr>
          <w:rFonts w:ascii="Times New Roman" w:hAnsi="Times New Roman"/>
          <w:sz w:val="22"/>
          <w:szCs w:val="22"/>
        </w:rPr>
      </w:pPr>
      <w:r>
        <w:rPr>
          <w:sz w:val="22"/>
          <w:szCs w:val="22"/>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подраздел </w:t>
      </w:r>
      <w:r>
        <w:rPr>
          <w:sz w:val="22"/>
          <w:szCs w:val="22"/>
        </w:rPr>
        <w:fldChar w:fldCharType="begin"/>
      </w:r>
      <w:r>
        <w:rPr>
          <w:sz w:val="22"/>
          <w:szCs w:val="22"/>
        </w:rPr>
        <w:instrText xml:space="preserve"> REF _Ref125362430 \r \h </w:instrText>
      </w:r>
      <w:r>
        <w:rPr>
          <w:sz w:val="22"/>
          <w:szCs w:val="22"/>
        </w:rPr>
        <w:fldChar w:fldCharType="separate"/>
      </w:r>
      <w:r>
        <w:rPr>
          <w:sz w:val="22"/>
          <w:szCs w:val="22"/>
        </w:rPr>
        <w:t>4.11</w:t>
      </w:r>
      <w:r>
        <w:rPr>
          <w:sz w:val="22"/>
          <w:szCs w:val="22"/>
        </w:rPr>
        <w:fldChar w:fldCharType="end"/>
      </w:r>
      <w:r>
        <w:rPr>
          <w:sz w:val="22"/>
          <w:szCs w:val="22"/>
        </w:rPr>
        <w:t>). В данном случае оценка и сопоставление заявок, а также их предварительная ранжировка осуществляются в соответствии с подразделами </w:t>
      </w:r>
      <w:r>
        <w:rPr>
          <w:sz w:val="22"/>
          <w:szCs w:val="22"/>
        </w:rPr>
        <w:fldChar w:fldCharType="begin"/>
      </w:r>
      <w:r>
        <w:rPr>
          <w:sz w:val="22"/>
          <w:szCs w:val="22"/>
        </w:rPr>
        <w:instrText xml:space="preserve"> REF _Ref125362626 \w \h </w:instrText>
      </w:r>
      <w:r>
        <w:rPr>
          <w:sz w:val="22"/>
          <w:szCs w:val="22"/>
        </w:rPr>
        <w:fldChar w:fldCharType="separate"/>
      </w:r>
      <w:r>
        <w:rPr>
          <w:sz w:val="22"/>
          <w:szCs w:val="22"/>
        </w:rPr>
        <w:t>4.12</w:t>
      </w:r>
      <w:r>
        <w:rPr>
          <w:sz w:val="22"/>
          <w:szCs w:val="22"/>
        </w:rPr>
        <w:fldChar w:fldCharType="end"/>
      </w:r>
      <w:r>
        <w:rPr>
          <w:sz w:val="22"/>
          <w:szCs w:val="22"/>
        </w:rPr>
        <w:t xml:space="preserve">, </w:t>
      </w:r>
      <w:r>
        <w:rPr>
          <w:sz w:val="22"/>
          <w:szCs w:val="22"/>
        </w:rPr>
        <w:fldChar w:fldCharType="begin"/>
      </w:r>
      <w:r>
        <w:rPr>
          <w:sz w:val="22"/>
          <w:szCs w:val="22"/>
        </w:rPr>
        <w:instrText xml:space="preserve"> REF _Ref130985951 \r \h </w:instrText>
      </w:r>
      <w:r>
        <w:rPr>
          <w:sz w:val="22"/>
          <w:szCs w:val="22"/>
        </w:rPr>
        <w:fldChar w:fldCharType="separate"/>
      </w:r>
      <w:r>
        <w:rPr>
          <w:sz w:val="22"/>
          <w:szCs w:val="22"/>
        </w:rPr>
        <w:t>4.13</w:t>
      </w:r>
      <w:r>
        <w:rPr>
          <w:sz w:val="22"/>
          <w:szCs w:val="22"/>
        </w:rPr>
        <w:fldChar w:fldCharType="end"/>
      </w:r>
      <w:r>
        <w:rPr>
          <w:sz w:val="22"/>
          <w:szCs w:val="22"/>
        </w:rPr>
        <w:t>, на основании представленных в составе заявки документов и сведений (включая стоимость заявки (цену Договора)).</w:t>
      </w:r>
    </w:p>
    <w:p>
      <w:pPr>
        <w:pStyle w:val="Style27"/>
        <w:keepNext w:val="true"/>
        <w:rPr>
          <w:rFonts w:ascii="Times New Roman" w:hAnsi="Times New Roman"/>
          <w:sz w:val="22"/>
          <w:szCs w:val="22"/>
        </w:rPr>
      </w:pPr>
      <w:r>
        <w:rPr>
          <w:sz w:val="22"/>
          <w:szCs w:val="22"/>
        </w:rPr>
        <w:t>Решение Закупочной комиссии по рассмотрению заявок оформляется протоколом, в котором, как минимум, указываются</w:t>
      </w:r>
      <w:r>
        <w:rPr>
          <w:rStyle w:val="FootnoteReference"/>
          <w:sz w:val="22"/>
          <w:szCs w:val="22"/>
        </w:rPr>
        <w:footnoteReference w:id="7"/>
      </w:r>
      <w:r>
        <w:rPr>
          <w:sz w:val="22"/>
          <w:szCs w:val="22"/>
        </w:rPr>
        <w:t>:</w:t>
      </w:r>
    </w:p>
    <w:p>
      <w:pPr>
        <w:pStyle w:val="Style28"/>
        <w:rPr>
          <w:rFonts w:ascii="Times New Roman" w:hAnsi="Times New Roman"/>
          <w:sz w:val="22"/>
          <w:szCs w:val="22"/>
        </w:rPr>
      </w:pPr>
      <w:r>
        <w:rPr>
          <w:sz w:val="22"/>
          <w:szCs w:val="22"/>
        </w:rPr>
        <w:t>дата подписания протокола;</w:t>
      </w:r>
    </w:p>
    <w:p>
      <w:pPr>
        <w:pStyle w:val="Style28"/>
        <w:rPr>
          <w:rFonts w:ascii="Times New Roman" w:hAnsi="Times New Roman"/>
          <w:sz w:val="22"/>
          <w:szCs w:val="22"/>
        </w:rPr>
      </w:pPr>
      <w:r>
        <w:rPr>
          <w:sz w:val="22"/>
          <w:szCs w:val="22"/>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rFonts w:ascii="Times New Roman" w:hAnsi="Times New Roman"/>
          <w:sz w:val="22"/>
          <w:szCs w:val="22"/>
        </w:rPr>
      </w:pPr>
      <w:r>
        <w:rPr>
          <w:sz w:val="22"/>
          <w:szCs w:val="22"/>
        </w:rPr>
        <w:t>наименования Участников, подавших заявки, и (или) их идентификационные номера, присваиваемые Оператором ЭП;</w:t>
      </w:r>
    </w:p>
    <w:p>
      <w:pPr>
        <w:pStyle w:val="Style28"/>
        <w:keepNext w:val="true"/>
        <w:rPr>
          <w:rFonts w:ascii="Times New Roman" w:hAnsi="Times New Roman"/>
          <w:sz w:val="22"/>
          <w:szCs w:val="22"/>
        </w:rPr>
      </w:pPr>
      <w:r>
        <w:rPr>
          <w:sz w:val="22"/>
          <w:szCs w:val="22"/>
        </w:rPr>
        <w:t>результаты рассмотрения заявок с указанием, в том числе:</w:t>
      </w:r>
    </w:p>
    <w:p>
      <w:pPr>
        <w:pStyle w:val="Style29"/>
        <w:rPr>
          <w:rFonts w:ascii="Times New Roman" w:hAnsi="Times New Roman"/>
          <w:sz w:val="22"/>
          <w:szCs w:val="22"/>
        </w:rPr>
      </w:pPr>
      <w:r>
        <w:rPr>
          <w:sz w:val="22"/>
          <w:szCs w:val="22"/>
        </w:rPr>
        <w:t>количества заявок, которые были отклонены;</w:t>
      </w:r>
    </w:p>
    <w:p>
      <w:pPr>
        <w:pStyle w:val="Style29"/>
        <w:rPr>
          <w:rFonts w:ascii="Times New Roman" w:hAnsi="Times New Roman"/>
          <w:sz w:val="22"/>
          <w:szCs w:val="22"/>
        </w:rPr>
      </w:pPr>
      <w:r>
        <w:rPr>
          <w:sz w:val="22"/>
          <w:szCs w:val="22"/>
        </w:rPr>
        <w:t>оснований отклонения каждой заявки с указанием положений Документации о закупке, которым не соответствует такая заявка;</w:t>
      </w:r>
    </w:p>
    <w:p>
      <w:pPr>
        <w:pStyle w:val="Style28"/>
        <w:rPr>
          <w:rFonts w:ascii="Times New Roman" w:hAnsi="Times New Roman"/>
          <w:sz w:val="22"/>
          <w:szCs w:val="22"/>
        </w:rPr>
      </w:pPr>
      <w:r>
        <w:rPr>
          <w:sz w:val="22"/>
          <w:szCs w:val="22"/>
        </w:rPr>
        <w:t>причины, по которым закупка признана несостоявшейся в соответствии с подразделом </w:t>
      </w:r>
      <w:r>
        <w:rPr>
          <w:sz w:val="22"/>
          <w:szCs w:val="22"/>
        </w:rPr>
        <w:fldChar w:fldCharType="begin"/>
      </w:r>
      <w:r>
        <w:rPr>
          <w:sz w:val="22"/>
          <w:szCs w:val="22"/>
        </w:rPr>
        <w:instrText xml:space="preserve"> REF _Ref125364149 \w \h </w:instrText>
      </w:r>
      <w:r>
        <w:rPr>
          <w:sz w:val="22"/>
          <w:szCs w:val="22"/>
        </w:rPr>
        <w:fldChar w:fldCharType="separate"/>
      </w:r>
      <w:r>
        <w:rPr>
          <w:sz w:val="22"/>
          <w:szCs w:val="22"/>
        </w:rPr>
        <w:t>4.15</w:t>
      </w:r>
      <w:r>
        <w:rPr>
          <w:sz w:val="22"/>
          <w:szCs w:val="22"/>
        </w:rPr>
        <w:fldChar w:fldCharType="end"/>
      </w:r>
      <w:r>
        <w:rPr>
          <w:sz w:val="22"/>
          <w:szCs w:val="22"/>
        </w:rPr>
        <w:t xml:space="preserve"> (в случае ее признания таковой);</w:t>
      </w:r>
    </w:p>
    <w:p>
      <w:pPr>
        <w:pStyle w:val="Style28"/>
        <w:keepNext w:val="true"/>
        <w:rPr>
          <w:rFonts w:ascii="Times New Roman" w:hAnsi="Times New Roman"/>
          <w:sz w:val="22"/>
          <w:szCs w:val="22"/>
        </w:rPr>
      </w:pPr>
      <w:r>
        <w:rPr>
          <w:sz w:val="22"/>
          <w:szCs w:val="22"/>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9"/>
        <w:rPr>
          <w:rFonts w:ascii="Times New Roman" w:hAnsi="Times New Roman"/>
          <w:sz w:val="22"/>
          <w:szCs w:val="22"/>
        </w:rPr>
      </w:pPr>
      <w:r>
        <w:rPr>
          <w:sz w:val="22"/>
          <w:szCs w:val="22"/>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9"/>
        <w:rPr>
          <w:rFonts w:ascii="Times New Roman" w:hAnsi="Times New Roman"/>
          <w:sz w:val="22"/>
          <w:szCs w:val="22"/>
        </w:rPr>
      </w:pPr>
      <w:r>
        <w:rPr>
          <w:sz w:val="22"/>
          <w:szCs w:val="22"/>
        </w:rPr>
        <w:t>порядкового номера каждой допущенной заявки в предварительной ранжировке заявок, включая стоимость заявки (цену Договора);</w:t>
      </w:r>
    </w:p>
    <w:p>
      <w:pPr>
        <w:pStyle w:val="Style28"/>
        <w:rPr>
          <w:rFonts w:ascii="Times New Roman" w:hAnsi="Times New Roman"/>
          <w:sz w:val="22"/>
          <w:szCs w:val="22"/>
        </w:rPr>
      </w:pPr>
      <w:bookmarkStart w:id="153" w:name="_Ref125551524"/>
      <w:r>
        <w:rPr>
          <w:sz w:val="22"/>
          <w:szCs w:val="22"/>
        </w:rPr>
        <w:t>решение о проведении или непроведении переторжки,</w:t>
      </w:r>
      <w:bookmarkEnd w:id="153"/>
    </w:p>
    <w:p>
      <w:pPr>
        <w:pStyle w:val="Style31"/>
        <w:ind w:left="1134"/>
        <w:rPr>
          <w:rFonts w:ascii="Times New Roman" w:hAnsi="Times New Roman"/>
          <w:sz w:val="22"/>
          <w:szCs w:val="22"/>
        </w:rPr>
      </w:pPr>
      <w:r>
        <w:rPr>
          <w:sz w:val="22"/>
          <w:szCs w:val="22"/>
        </w:rPr>
        <w:t>после чего Организатор официально размещает его в течение 3 (трех) календарных дней с даты подписания такого протокола.</w:t>
      </w:r>
    </w:p>
    <w:p>
      <w:pPr>
        <w:pStyle w:val="Style27"/>
        <w:rPr>
          <w:rFonts w:ascii="Times New Roman" w:hAnsi="Times New Roman"/>
          <w:sz w:val="22"/>
          <w:szCs w:val="22"/>
        </w:rPr>
      </w:pPr>
      <w:r>
        <w:rPr>
          <w:sz w:val="22"/>
          <w:szCs w:val="22"/>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sz w:val="22"/>
          <w:szCs w:val="22"/>
        </w:rPr>
        <w:fldChar w:fldCharType="begin"/>
      </w:r>
      <w:r>
        <w:rPr>
          <w:sz w:val="22"/>
          <w:szCs w:val="22"/>
        </w:rPr>
        <w:instrText xml:space="preserve"> REF _Ref130394785 \r \h </w:instrText>
      </w:r>
      <w:r>
        <w:rPr>
          <w:sz w:val="22"/>
          <w:szCs w:val="22"/>
        </w:rPr>
        <w:fldChar w:fldCharType="separate"/>
      </w:r>
      <w:r>
        <w:rPr>
          <w:sz w:val="22"/>
          <w:szCs w:val="22"/>
        </w:rPr>
        <w:t>4.4</w:t>
      </w:r>
      <w:r>
        <w:rPr>
          <w:sz w:val="22"/>
          <w:szCs w:val="22"/>
        </w:rPr>
        <w:fldChar w:fldCharType="end"/>
      </w:r>
      <w:r>
        <w:rPr>
          <w:sz w:val="22"/>
          <w:szCs w:val="22"/>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7"/>
        <w:rPr>
          <w:rFonts w:ascii="Times New Roman" w:hAnsi="Times New Roman"/>
          <w:sz w:val="22"/>
          <w:szCs w:val="22"/>
        </w:rPr>
      </w:pPr>
      <w:r>
        <w:rPr>
          <w:sz w:val="22"/>
          <w:szCs w:val="22"/>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27"/>
        <w:rPr>
          <w:rFonts w:ascii="Times New Roman" w:hAnsi="Times New Roman"/>
          <w:sz w:val="22"/>
          <w:szCs w:val="22"/>
        </w:rPr>
      </w:pPr>
      <w:r>
        <w:rPr>
          <w:sz w:val="22"/>
          <w:szCs w:val="22"/>
        </w:rPr>
        <w:t>Если основания для отклонения заявки, указанные в пункте </w:t>
      </w:r>
      <w:r>
        <w:rPr>
          <w:sz w:val="22"/>
          <w:szCs w:val="22"/>
        </w:rPr>
        <w:fldChar w:fldCharType="begin"/>
      </w:r>
      <w:r>
        <w:rPr>
          <w:sz w:val="22"/>
          <w:szCs w:val="22"/>
        </w:rPr>
        <w:instrText xml:space="preserve"> REF _Ref125551456 \w \h </w:instrText>
      </w:r>
      <w:r>
        <w:rPr>
          <w:sz w:val="22"/>
          <w:szCs w:val="22"/>
        </w:rPr>
        <w:fldChar w:fldCharType="separate"/>
      </w:r>
      <w:r>
        <w:rPr>
          <w:sz w:val="22"/>
          <w:szCs w:val="22"/>
        </w:rPr>
        <w:t>4.9.5</w:t>
      </w:r>
      <w:r>
        <w:rPr>
          <w:sz w:val="22"/>
          <w:szCs w:val="22"/>
        </w:rPr>
        <w:fldChar w:fldCharType="end"/>
      </w:r>
      <w:r>
        <w:rPr>
          <w:sz w:val="22"/>
          <w:szCs w:val="22"/>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26"/>
        <w:rPr>
          <w:rFonts w:ascii="Times New Roman" w:hAnsi="Times New Roman"/>
          <w:sz w:val="22"/>
          <w:szCs w:val="22"/>
        </w:rPr>
      </w:pPr>
      <w:bookmarkStart w:id="154" w:name="_Ref125362381"/>
      <w:bookmarkStart w:id="155" w:name="_Ref125362425"/>
      <w:bookmarkStart w:id="156" w:name="_Ref125362464"/>
      <w:bookmarkStart w:id="157" w:name="_Ref125362610"/>
      <w:bookmarkStart w:id="158" w:name="_Toc230928851"/>
      <w:r>
        <w:rPr>
          <w:sz w:val="22"/>
          <w:szCs w:val="22"/>
        </w:rPr>
        <w:t>Дополнительные запросы разъяснений заявок</w:t>
      </w:r>
      <w:bookmarkEnd w:id="154"/>
      <w:bookmarkEnd w:id="155"/>
      <w:bookmarkEnd w:id="156"/>
      <w:bookmarkEnd w:id="157"/>
      <w:bookmarkEnd w:id="158"/>
    </w:p>
    <w:p>
      <w:pPr>
        <w:pStyle w:val="Style27"/>
        <w:rPr>
          <w:rFonts w:ascii="Times New Roman" w:hAnsi="Times New Roman"/>
          <w:sz w:val="22"/>
          <w:szCs w:val="22"/>
        </w:rPr>
      </w:pPr>
      <w:bookmarkStart w:id="159" w:name="_Ref125365611"/>
      <w:r>
        <w:rPr>
          <w:sz w:val="22"/>
          <w:szCs w:val="22"/>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59"/>
    </w:p>
    <w:p>
      <w:pPr>
        <w:pStyle w:val="Style28"/>
        <w:keepNext w:val="true"/>
        <w:rPr>
          <w:rFonts w:ascii="Times New Roman" w:hAnsi="Times New Roman"/>
          <w:sz w:val="22"/>
          <w:szCs w:val="22"/>
        </w:rPr>
      </w:pPr>
      <w:r>
        <w:rPr>
          <w:sz w:val="22"/>
          <w:szCs w:val="22"/>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9"/>
        <w:rPr>
          <w:rFonts w:ascii="Times New Roman" w:hAnsi="Times New Roman"/>
          <w:sz w:val="22"/>
          <w:szCs w:val="22"/>
        </w:rPr>
      </w:pPr>
      <w:r>
        <w:rPr>
          <w:sz w:val="22"/>
          <w:szCs w:val="22"/>
        </w:rPr>
        <w:t>соответствия Участника требованиям Документации о закупке;</w:t>
      </w:r>
    </w:p>
    <w:p>
      <w:pPr>
        <w:pStyle w:val="Style29"/>
        <w:rPr>
          <w:rFonts w:ascii="Times New Roman" w:hAnsi="Times New Roman"/>
          <w:sz w:val="22"/>
          <w:szCs w:val="22"/>
        </w:rPr>
      </w:pPr>
      <w:r>
        <w:rPr>
          <w:sz w:val="22"/>
          <w:szCs w:val="22"/>
        </w:rPr>
        <w:t>наличия соответствующих полномочий на подписание заявки от имени Участника у лица, подписавшего заявку;</w:t>
      </w:r>
    </w:p>
    <w:p>
      <w:pPr>
        <w:pStyle w:val="Style29"/>
        <w:rPr>
          <w:rFonts w:ascii="Times New Roman" w:hAnsi="Times New Roman"/>
          <w:sz w:val="22"/>
          <w:szCs w:val="22"/>
        </w:rPr>
      </w:pPr>
      <w:r>
        <w:rPr>
          <w:sz w:val="22"/>
          <w:szCs w:val="22"/>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sz w:val="22"/>
          <w:szCs w:val="22"/>
        </w:rPr>
        <w:fldChar w:fldCharType="begin"/>
      </w:r>
      <w:r>
        <w:rPr>
          <w:sz w:val="22"/>
          <w:szCs w:val="22"/>
        </w:rPr>
        <w:instrText xml:space="preserve"> REF _Ref186213053 \r \h </w:instrText>
      </w:r>
      <w:r>
        <w:rPr>
          <w:sz w:val="22"/>
          <w:szCs w:val="22"/>
        </w:rPr>
        <w:fldChar w:fldCharType="separate"/>
      </w:r>
      <w:r>
        <w:rPr>
          <w:sz w:val="22"/>
          <w:szCs w:val="22"/>
        </w:rPr>
        <w:t>4.13</w:t>
      </w:r>
      <w:r>
        <w:rPr>
          <w:sz w:val="22"/>
          <w:szCs w:val="22"/>
        </w:rPr>
        <w:fldChar w:fldCharType="end"/>
      </w:r>
      <w:r>
        <w:rPr>
          <w:sz w:val="22"/>
          <w:szCs w:val="22"/>
        </w:rPr>
        <w:t>)), договорных условий и расчета цены Договора;</w:t>
      </w:r>
    </w:p>
    <w:p>
      <w:pPr>
        <w:pStyle w:val="Style28"/>
        <w:rPr>
          <w:rFonts w:ascii="Times New Roman" w:hAnsi="Times New Roman"/>
          <w:sz w:val="22"/>
          <w:szCs w:val="22"/>
        </w:rPr>
      </w:pPr>
      <w:bookmarkStart w:id="160" w:name="_Ref134702259"/>
      <w:r>
        <w:rPr>
          <w:sz w:val="22"/>
          <w:szCs w:val="22"/>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8"/>
        <w:rPr>
          <w:rFonts w:ascii="Times New Roman" w:hAnsi="Times New Roman"/>
          <w:sz w:val="22"/>
          <w:szCs w:val="22"/>
        </w:rPr>
      </w:pPr>
      <w:r>
        <w:rPr>
          <w:sz w:val="22"/>
          <w:szCs w:val="22"/>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sz w:val="22"/>
          <w:szCs w:val="22"/>
        </w:rPr>
        <w:footnoteReference w:id="8"/>
      </w:r>
      <w:r>
        <w:rPr>
          <w:sz w:val="22"/>
          <w:szCs w:val="22"/>
        </w:rPr>
        <w:t>) требованиям Документации о закупке или осуществить оценку и сопоставление заявок.</w:t>
      </w:r>
      <w:bookmarkEnd w:id="160"/>
    </w:p>
    <w:p>
      <w:pPr>
        <w:pStyle w:val="Style27"/>
        <w:rPr>
          <w:rFonts w:ascii="Times New Roman" w:hAnsi="Times New Roman"/>
          <w:sz w:val="22"/>
          <w:szCs w:val="22"/>
        </w:rPr>
      </w:pPr>
      <w:r>
        <w:rPr>
          <w:sz w:val="22"/>
          <w:szCs w:val="22"/>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sz w:val="22"/>
          <w:szCs w:val="22"/>
        </w:rPr>
        <w:fldChar w:fldCharType="begin"/>
      </w:r>
      <w:r>
        <w:rPr>
          <w:sz w:val="22"/>
          <w:szCs w:val="22"/>
        </w:rPr>
        <w:instrText xml:space="preserve"> REF _Ref134702259 \r \h </w:instrText>
      </w:r>
      <w:r>
        <w:rPr>
          <w:sz w:val="22"/>
          <w:szCs w:val="22"/>
        </w:rPr>
        <w:fldChar w:fldCharType="separate"/>
      </w:r>
      <w:r>
        <w:rPr>
          <w:sz w:val="22"/>
          <w:szCs w:val="22"/>
        </w:rPr>
        <w:t>4.10.1б)</w:t>
      </w:r>
      <w:r>
        <w:rPr>
          <w:sz w:val="22"/>
          <w:szCs w:val="22"/>
        </w:rPr>
        <w:fldChar w:fldCharType="end"/>
      </w:r>
      <w:r>
        <w:rPr>
          <w:sz w:val="22"/>
          <w:szCs w:val="22"/>
        </w:rPr>
        <w:t>).</w:t>
      </w:r>
    </w:p>
    <w:p>
      <w:pPr>
        <w:pStyle w:val="Style27"/>
        <w:rPr>
          <w:rFonts w:ascii="Times New Roman" w:hAnsi="Times New Roman"/>
          <w:sz w:val="22"/>
          <w:szCs w:val="22"/>
        </w:rPr>
      </w:pPr>
      <w:r>
        <w:rPr>
          <w:sz w:val="22"/>
          <w:szCs w:val="22"/>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7"/>
        <w:rPr>
          <w:rFonts w:ascii="Times New Roman" w:hAnsi="Times New Roman"/>
          <w:sz w:val="22"/>
          <w:szCs w:val="22"/>
        </w:rPr>
      </w:pPr>
      <w:r>
        <w:rPr>
          <w:sz w:val="22"/>
          <w:szCs w:val="22"/>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7"/>
        <w:rPr>
          <w:rFonts w:ascii="Times New Roman" w:hAnsi="Times New Roman"/>
          <w:sz w:val="22"/>
          <w:szCs w:val="22"/>
        </w:rPr>
      </w:pPr>
      <w:r>
        <w:rPr>
          <w:sz w:val="22"/>
          <w:szCs w:val="22"/>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sz w:val="22"/>
          <w:szCs w:val="22"/>
        </w:rPr>
        <w:fldChar w:fldCharType="begin"/>
      </w:r>
      <w:r>
        <w:rPr>
          <w:sz w:val="22"/>
          <w:szCs w:val="22"/>
        </w:rPr>
        <w:instrText xml:space="preserve"> REF _Ref125551456 \w \h </w:instrText>
      </w:r>
      <w:r>
        <w:rPr>
          <w:sz w:val="22"/>
          <w:szCs w:val="22"/>
        </w:rPr>
        <w:fldChar w:fldCharType="separate"/>
      </w:r>
      <w:r>
        <w:rPr>
          <w:sz w:val="22"/>
          <w:szCs w:val="22"/>
        </w:rPr>
        <w:t>4.9.5</w:t>
      </w:r>
      <w:r>
        <w:rPr>
          <w:sz w:val="22"/>
          <w:szCs w:val="22"/>
        </w:rPr>
        <w:fldChar w:fldCharType="end"/>
      </w:r>
      <w:r>
        <w:rPr>
          <w:sz w:val="22"/>
          <w:szCs w:val="22"/>
        </w:rPr>
        <w:t xml:space="preserve"> имеются прямые основания для отклонения заявки такого Участника, не относящиеся к случаям, перечисленным в пункте </w:t>
      </w:r>
      <w:r>
        <w:rPr>
          <w:sz w:val="22"/>
          <w:szCs w:val="22"/>
        </w:rPr>
        <w:fldChar w:fldCharType="begin"/>
      </w:r>
      <w:r>
        <w:rPr>
          <w:sz w:val="22"/>
          <w:szCs w:val="22"/>
        </w:rPr>
        <w:instrText xml:space="preserve"> REF _Ref125365611 \w \h </w:instrText>
      </w:r>
      <w:r>
        <w:rPr>
          <w:sz w:val="22"/>
          <w:szCs w:val="22"/>
        </w:rPr>
        <w:fldChar w:fldCharType="separate"/>
      </w:r>
      <w:r>
        <w:rPr>
          <w:sz w:val="22"/>
          <w:szCs w:val="22"/>
        </w:rPr>
        <w:t>4.10.1</w:t>
      </w:r>
      <w:r>
        <w:rPr>
          <w:sz w:val="22"/>
          <w:szCs w:val="22"/>
        </w:rPr>
        <w:fldChar w:fldCharType="end"/>
      </w:r>
      <w:r>
        <w:rPr>
          <w:sz w:val="22"/>
          <w:szCs w:val="22"/>
        </w:rPr>
        <w:t>.</w:t>
      </w:r>
    </w:p>
    <w:p>
      <w:pPr>
        <w:pStyle w:val="Style27"/>
        <w:rPr>
          <w:rFonts w:ascii="Times New Roman" w:hAnsi="Times New Roman"/>
          <w:sz w:val="22"/>
          <w:szCs w:val="22"/>
        </w:rPr>
      </w:pPr>
      <w:r>
        <w:rPr>
          <w:sz w:val="22"/>
          <w:szCs w:val="22"/>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7"/>
        <w:rPr>
          <w:rFonts w:ascii="Times New Roman" w:hAnsi="Times New Roman"/>
          <w:sz w:val="22"/>
          <w:szCs w:val="22"/>
        </w:rPr>
      </w:pPr>
      <w:r>
        <w:rPr>
          <w:sz w:val="22"/>
          <w:szCs w:val="22"/>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7"/>
        <w:rPr>
          <w:rFonts w:ascii="Times New Roman" w:hAnsi="Times New Roman"/>
          <w:sz w:val="22"/>
          <w:szCs w:val="22"/>
        </w:rPr>
      </w:pPr>
      <w:r>
        <w:rPr>
          <w:sz w:val="22"/>
          <w:szCs w:val="22"/>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sz w:val="22"/>
          <w:szCs w:val="22"/>
        </w:rPr>
        <w:fldChar w:fldCharType="begin"/>
      </w:r>
      <w:r>
        <w:rPr>
          <w:sz w:val="22"/>
          <w:szCs w:val="22"/>
        </w:rPr>
        <w:instrText xml:space="preserve"> REF _Ref125551456 \w \h </w:instrText>
      </w:r>
      <w:r>
        <w:rPr>
          <w:sz w:val="22"/>
          <w:szCs w:val="22"/>
        </w:rPr>
        <w:fldChar w:fldCharType="separate"/>
      </w:r>
      <w:r>
        <w:rPr>
          <w:sz w:val="22"/>
          <w:szCs w:val="22"/>
        </w:rPr>
        <w:t>4.9.5</w:t>
      </w:r>
      <w:r>
        <w:rPr>
          <w:sz w:val="22"/>
          <w:szCs w:val="22"/>
        </w:rPr>
        <w:fldChar w:fldCharType="end"/>
      </w:r>
      <w:r>
        <w:rPr>
          <w:sz w:val="22"/>
          <w:szCs w:val="22"/>
        </w:rPr>
        <w:t>.</w:t>
      </w:r>
    </w:p>
    <w:p>
      <w:pPr>
        <w:pStyle w:val="Style26"/>
        <w:rPr>
          <w:rFonts w:ascii="Times New Roman" w:hAnsi="Times New Roman"/>
          <w:sz w:val="22"/>
          <w:szCs w:val="22"/>
        </w:rPr>
      </w:pPr>
      <w:bookmarkStart w:id="161" w:name="_Ref125362430"/>
      <w:bookmarkStart w:id="162" w:name="_Ref125362537"/>
      <w:bookmarkStart w:id="163" w:name="_Ref127536359"/>
      <w:bookmarkStart w:id="164" w:name="_Toc230928852"/>
      <w:r>
        <w:rPr>
          <w:sz w:val="22"/>
          <w:szCs w:val="22"/>
        </w:rPr>
        <w:t>Переторжка</w:t>
      </w:r>
      <w:bookmarkEnd w:id="161"/>
      <w:bookmarkEnd w:id="162"/>
      <w:bookmarkEnd w:id="163"/>
      <w:bookmarkEnd w:id="164"/>
    </w:p>
    <w:p>
      <w:pPr>
        <w:pStyle w:val="Style27"/>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27"/>
        <w:rPr>
          <w:rFonts w:ascii="Times New Roman" w:hAnsi="Times New Roman"/>
          <w:sz w:val="22"/>
          <w:szCs w:val="22"/>
        </w:rPr>
      </w:pPr>
      <w:r>
        <w:rPr>
          <w:sz w:val="22"/>
          <w:szCs w:val="22"/>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27"/>
        <w:keepNext w:val="true"/>
        <w:rPr>
          <w:rFonts w:ascii="Times New Roman" w:hAnsi="Times New Roman"/>
          <w:sz w:val="22"/>
          <w:szCs w:val="22"/>
        </w:rPr>
      </w:pPr>
      <w:r>
        <w:rPr>
          <w:sz w:val="22"/>
          <w:szCs w:val="22"/>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28"/>
        <w:rPr>
          <w:rFonts w:ascii="Times New Roman" w:hAnsi="Times New Roman"/>
          <w:sz w:val="22"/>
          <w:szCs w:val="22"/>
        </w:rPr>
      </w:pPr>
      <w:r>
        <w:rPr>
          <w:sz w:val="22"/>
          <w:szCs w:val="22"/>
        </w:rPr>
        <w:t>стоимость заявки (цена Договора) / цена за единицу продукции;</w:t>
      </w:r>
    </w:p>
    <w:p>
      <w:pPr>
        <w:pStyle w:val="Style28"/>
        <w:rPr>
          <w:rFonts w:ascii="Times New Roman" w:hAnsi="Times New Roman"/>
          <w:sz w:val="22"/>
          <w:szCs w:val="22"/>
        </w:rPr>
      </w:pPr>
      <w:r>
        <w:rPr>
          <w:sz w:val="22"/>
          <w:szCs w:val="22"/>
        </w:rPr>
        <w:t>сроки поставки продукции;</w:t>
      </w:r>
    </w:p>
    <w:p>
      <w:pPr>
        <w:pStyle w:val="Style28"/>
        <w:rPr>
          <w:rFonts w:ascii="Times New Roman" w:hAnsi="Times New Roman"/>
          <w:sz w:val="22"/>
          <w:szCs w:val="22"/>
        </w:rPr>
      </w:pPr>
      <w:r>
        <w:rPr>
          <w:sz w:val="22"/>
          <w:szCs w:val="22"/>
        </w:rPr>
        <w:t>условия оплаты;</w:t>
      </w:r>
    </w:p>
    <w:p>
      <w:pPr>
        <w:pStyle w:val="Style28"/>
        <w:rPr>
          <w:rFonts w:ascii="Times New Roman" w:hAnsi="Times New Roman"/>
          <w:sz w:val="22"/>
          <w:szCs w:val="22"/>
        </w:rPr>
      </w:pPr>
      <w:r>
        <w:rPr>
          <w:sz w:val="22"/>
          <w:szCs w:val="22"/>
        </w:rPr>
        <w:t>иные условия, которые являются критериями оценки заявок.</w:t>
      </w:r>
    </w:p>
    <w:p>
      <w:pPr>
        <w:pStyle w:val="Style31"/>
        <w:ind w:left="1134"/>
        <w:rPr>
          <w:rFonts w:ascii="Times New Roman" w:hAnsi="Times New Roman"/>
          <w:sz w:val="22"/>
          <w:szCs w:val="22"/>
        </w:rPr>
      </w:pPr>
      <w:r>
        <w:rPr>
          <w:sz w:val="22"/>
          <w:szCs w:val="22"/>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27"/>
        <w:rPr>
          <w:rFonts w:ascii="Times New Roman" w:hAnsi="Times New Roman"/>
          <w:sz w:val="22"/>
          <w:szCs w:val="22"/>
        </w:rPr>
      </w:pPr>
      <w:r>
        <w:rPr>
          <w:sz w:val="22"/>
          <w:szCs w:val="22"/>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27"/>
        <w:rPr>
          <w:rFonts w:ascii="Times New Roman" w:hAnsi="Times New Roman"/>
          <w:sz w:val="22"/>
          <w:szCs w:val="22"/>
        </w:rPr>
      </w:pPr>
      <w:r>
        <w:rPr>
          <w:sz w:val="22"/>
          <w:szCs w:val="22"/>
        </w:rPr>
        <w:t>В переторжке может принять участие любой Участник, заявка которого не была отклонена по результатам рассмотрения заявок.</w:t>
      </w:r>
    </w:p>
    <w:p>
      <w:pPr>
        <w:pStyle w:val="Style27"/>
        <w:rPr/>
      </w:pPr>
      <w:r>
        <w:rPr>
          <w:sz w:val="22"/>
          <w:szCs w:val="22"/>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r>
          <w:rPr>
            <w:rStyle w:val="Style14"/>
            <w:sz w:val="22"/>
            <w:szCs w:val="22"/>
          </w:rPr>
          <w:t>Приложение № 4</w:t>
        </w:r>
      </w:hyperlink>
      <w:r>
        <w:rPr>
          <w:sz w:val="22"/>
          <w:szCs w:val="22"/>
        </w:rPr>
        <w:t>).</w:t>
      </w:r>
    </w:p>
    <w:p>
      <w:pPr>
        <w:pStyle w:val="Style27"/>
        <w:rPr>
          <w:rFonts w:ascii="Times New Roman" w:hAnsi="Times New Roman"/>
          <w:sz w:val="22"/>
          <w:szCs w:val="22"/>
        </w:rPr>
      </w:pPr>
      <w:r>
        <w:rPr>
          <w:sz w:val="22"/>
          <w:szCs w:val="22"/>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27"/>
        <w:rPr>
          <w:rFonts w:ascii="Times New Roman" w:hAnsi="Times New Roman"/>
          <w:sz w:val="22"/>
          <w:szCs w:val="22"/>
        </w:rPr>
      </w:pPr>
      <w:r>
        <w:rPr>
          <w:sz w:val="22"/>
          <w:szCs w:val="22"/>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27"/>
        <w:rPr>
          <w:rFonts w:ascii="Times New Roman" w:hAnsi="Times New Roman"/>
          <w:sz w:val="22"/>
          <w:szCs w:val="22"/>
        </w:rPr>
      </w:pPr>
      <w:r>
        <w:rPr>
          <w:sz w:val="22"/>
          <w:szCs w:val="22"/>
        </w:rPr>
        <w:t>Участник не вправе изменять и (или) отзывать поданные предложения на переторжку после окончания ее проведения.</w:t>
      </w:r>
    </w:p>
    <w:p>
      <w:pPr>
        <w:pStyle w:val="Style27"/>
        <w:rPr>
          <w:rFonts w:ascii="Times New Roman" w:hAnsi="Times New Roman"/>
          <w:sz w:val="22"/>
          <w:szCs w:val="22"/>
        </w:rPr>
      </w:pPr>
      <w:r>
        <w:rPr>
          <w:sz w:val="22"/>
          <w:szCs w:val="22"/>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27"/>
        <w:rPr>
          <w:rFonts w:ascii="Times New Roman" w:hAnsi="Times New Roman"/>
          <w:sz w:val="22"/>
          <w:szCs w:val="22"/>
        </w:rPr>
      </w:pPr>
      <w:r>
        <w:rPr>
          <w:sz w:val="22"/>
          <w:szCs w:val="22"/>
        </w:rPr>
        <w:t>Процедура переторжки проводится на ЭП в порядке, предусмотренном настоящим подразделом и Регламентом ЭП.</w:t>
      </w:r>
    </w:p>
    <w:p>
      <w:pPr>
        <w:pStyle w:val="Style27"/>
        <w:keepNext w:val="true"/>
        <w:rPr>
          <w:rFonts w:ascii="Times New Roman" w:hAnsi="Times New Roman"/>
          <w:sz w:val="22"/>
          <w:szCs w:val="22"/>
        </w:rPr>
      </w:pPr>
      <w:r>
        <w:rPr>
          <w:sz w:val="22"/>
          <w:szCs w:val="22"/>
        </w:rPr>
        <w:t>В зависимости от правил, предусмотренных Регламентом ЭП, переторжка может проводиться:</w:t>
      </w:r>
    </w:p>
    <w:p>
      <w:pPr>
        <w:pStyle w:val="Style28"/>
        <w:rPr>
          <w:rFonts w:ascii="Times New Roman" w:hAnsi="Times New Roman"/>
          <w:sz w:val="22"/>
          <w:szCs w:val="22"/>
        </w:rPr>
      </w:pPr>
      <w:r>
        <w:rPr>
          <w:sz w:val="22"/>
          <w:szCs w:val="22"/>
        </w:rPr>
        <w:t>в заочной форме путем однократной подачи предложения на переторжку к установленному сроку;</w:t>
      </w:r>
    </w:p>
    <w:p>
      <w:pPr>
        <w:pStyle w:val="Style28"/>
        <w:rPr>
          <w:rFonts w:ascii="Times New Roman" w:hAnsi="Times New Roman"/>
          <w:sz w:val="22"/>
          <w:szCs w:val="22"/>
        </w:rPr>
      </w:pPr>
      <w:r>
        <w:rPr>
          <w:sz w:val="22"/>
          <w:szCs w:val="22"/>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27"/>
        <w:rPr>
          <w:rFonts w:ascii="Times New Roman" w:hAnsi="Times New Roman"/>
          <w:sz w:val="22"/>
          <w:szCs w:val="22"/>
        </w:rPr>
      </w:pPr>
      <w:r>
        <w:rPr>
          <w:sz w:val="22"/>
          <w:szCs w:val="22"/>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27"/>
        <w:rPr>
          <w:rFonts w:ascii="Times New Roman" w:hAnsi="Times New Roman"/>
          <w:sz w:val="22"/>
          <w:szCs w:val="22"/>
        </w:rPr>
      </w:pPr>
      <w:r>
        <w:rPr>
          <w:sz w:val="22"/>
          <w:szCs w:val="22"/>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27"/>
        <w:rPr>
          <w:rFonts w:ascii="Times New Roman" w:hAnsi="Times New Roman"/>
          <w:sz w:val="22"/>
          <w:szCs w:val="22"/>
        </w:rPr>
      </w:pPr>
      <w:bookmarkStart w:id="165" w:name="_Ref136245191"/>
      <w:r>
        <w:rPr>
          <w:sz w:val="22"/>
          <w:szCs w:val="22"/>
        </w:rPr>
        <w:t>При заочной форме переторжки Участник вместе с предложением на переторжку размещает на ЭП документы своей заявки, указанные в пункте </w:t>
      </w:r>
      <w:r>
        <w:rPr>
          <w:sz w:val="22"/>
          <w:szCs w:val="22"/>
        </w:rPr>
        <w:fldChar w:fldCharType="begin"/>
      </w:r>
      <w:r>
        <w:rPr>
          <w:sz w:val="22"/>
          <w:szCs w:val="22"/>
        </w:rPr>
        <w:instrText xml:space="preserve"> REF _Ref136244167 \r \h </w:instrText>
      </w:r>
      <w:r>
        <w:rPr>
          <w:sz w:val="22"/>
          <w:szCs w:val="22"/>
        </w:rPr>
        <w:fldChar w:fldCharType="separate"/>
      </w:r>
      <w:r>
        <w:rPr>
          <w:sz w:val="22"/>
          <w:szCs w:val="22"/>
        </w:rPr>
        <w:t>4.11.17</w:t>
      </w:r>
      <w:r>
        <w:rPr>
          <w:sz w:val="22"/>
          <w:szCs w:val="22"/>
        </w:rPr>
        <w:fldChar w:fldCharType="end"/>
      </w:r>
      <w:r>
        <w:rPr>
          <w:sz w:val="22"/>
          <w:szCs w:val="22"/>
        </w:rPr>
        <w:t>, подлежащие корректировке в строгом соответствии с предложением, заявленным им в ходе проведения переторжки.</w:t>
      </w:r>
      <w:bookmarkEnd w:id="165"/>
    </w:p>
    <w:p>
      <w:pPr>
        <w:pStyle w:val="Style27"/>
        <w:rPr>
          <w:rFonts w:ascii="Times New Roman" w:hAnsi="Times New Roman"/>
          <w:sz w:val="22"/>
          <w:szCs w:val="22"/>
        </w:rPr>
      </w:pPr>
      <w:r>
        <w:rPr>
          <w:sz w:val="22"/>
          <w:szCs w:val="22"/>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sz w:val="22"/>
          <w:szCs w:val="22"/>
        </w:rPr>
        <w:fldChar w:fldCharType="begin"/>
      </w:r>
      <w:r>
        <w:rPr>
          <w:sz w:val="22"/>
          <w:szCs w:val="22"/>
        </w:rPr>
        <w:instrText xml:space="preserve"> REF _Ref138232981 \r \h </w:instrText>
      </w:r>
      <w:r>
        <w:rPr>
          <w:sz w:val="22"/>
          <w:szCs w:val="22"/>
        </w:rPr>
        <w:fldChar w:fldCharType="separate"/>
      </w:r>
      <w:r>
        <w:rPr>
          <w:sz w:val="22"/>
          <w:szCs w:val="22"/>
        </w:rPr>
        <w:t>5.2</w:t>
      </w:r>
      <w:r>
        <w:rPr>
          <w:sz w:val="22"/>
          <w:szCs w:val="22"/>
        </w:rPr>
        <w:fldChar w:fldCharType="end"/>
      </w:r>
      <w:r>
        <w:rPr>
          <w:sz w:val="22"/>
          <w:szCs w:val="22"/>
        </w:rPr>
        <w:t>, документы своей заявки, указанные в пункте </w:t>
      </w:r>
      <w:r>
        <w:rPr>
          <w:sz w:val="22"/>
          <w:szCs w:val="22"/>
        </w:rPr>
        <w:fldChar w:fldCharType="begin"/>
      </w:r>
      <w:r>
        <w:rPr>
          <w:sz w:val="22"/>
          <w:szCs w:val="22"/>
        </w:rPr>
        <w:instrText xml:space="preserve"> REF _Ref136244167 \r \h </w:instrText>
      </w:r>
      <w:r>
        <w:rPr>
          <w:sz w:val="22"/>
          <w:szCs w:val="22"/>
        </w:rPr>
        <w:fldChar w:fldCharType="separate"/>
      </w:r>
      <w:r>
        <w:rPr>
          <w:sz w:val="22"/>
          <w:szCs w:val="22"/>
        </w:rPr>
        <w:t>4.11.17</w:t>
      </w:r>
      <w:r>
        <w:rPr>
          <w:sz w:val="22"/>
          <w:szCs w:val="22"/>
        </w:rPr>
        <w:fldChar w:fldCharType="end"/>
      </w:r>
      <w:r>
        <w:rPr>
          <w:sz w:val="22"/>
          <w:szCs w:val="22"/>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27"/>
        <w:keepNext w:val="true"/>
        <w:rPr>
          <w:rFonts w:ascii="Times New Roman" w:hAnsi="Times New Roman"/>
          <w:sz w:val="22"/>
          <w:szCs w:val="22"/>
        </w:rPr>
      </w:pPr>
      <w:bookmarkStart w:id="166" w:name="_Ref136244167"/>
      <w:r>
        <w:rPr>
          <w:sz w:val="22"/>
          <w:szCs w:val="22"/>
        </w:rPr>
        <w:t>Документы заявки, подлежащие корректировке по результатам переторжки:</w:t>
      </w:r>
      <w:bookmarkEnd w:id="166"/>
    </w:p>
    <w:p>
      <w:pPr>
        <w:pStyle w:val="Style28"/>
        <w:rPr/>
      </w:pPr>
      <w:r>
        <w:rPr>
          <w:sz w:val="22"/>
          <w:szCs w:val="22"/>
        </w:rPr>
        <w:t>Письмо о подаче оферты (форма 2) (</w:t>
      </w:r>
      <w:hyperlink w:anchor="Прил04_ФормыЗаявки">
        <w:r>
          <w:rPr>
            <w:rStyle w:val="Style14"/>
            <w:sz w:val="22"/>
            <w:szCs w:val="22"/>
          </w:rPr>
          <w:t>Приложение № 4</w:t>
        </w:r>
      </w:hyperlink>
      <w:r>
        <w:rPr>
          <w:sz w:val="22"/>
          <w:szCs w:val="22"/>
        </w:rPr>
        <w:t>);</w:t>
      </w:r>
    </w:p>
    <w:p>
      <w:pPr>
        <w:pStyle w:val="Style28"/>
        <w:rPr/>
      </w:pPr>
      <w:r>
        <w:rPr>
          <w:sz w:val="22"/>
          <w:szCs w:val="22"/>
        </w:rPr>
        <w:t>Коммерческое предложение (форма 3) (</w:t>
      </w:r>
      <w:hyperlink w:anchor="Прил04_ФормыЗаявки">
        <w:r>
          <w:rPr>
            <w:rStyle w:val="Style14"/>
            <w:sz w:val="22"/>
            <w:szCs w:val="22"/>
          </w:rPr>
          <w:t>Приложение № 4</w:t>
        </w:r>
      </w:hyperlink>
      <w:r>
        <w:rPr>
          <w:sz w:val="22"/>
          <w:szCs w:val="22"/>
        </w:rPr>
        <w:t xml:space="preserve">); также дополнительно предоставляется подтверждающая документация, составленная в соответствии с </w:t>
      </w:r>
      <w:hyperlink w:anchor="Прил01_ТехТребования">
        <w:r>
          <w:rPr>
            <w:rStyle w:val="Style14"/>
            <w:sz w:val="22"/>
            <w:szCs w:val="22"/>
          </w:rPr>
          <w:t>Техническими требованиями (Приложение № 1)</w:t>
        </w:r>
      </w:hyperlink>
      <w:r>
        <w:rPr>
          <w:sz w:val="22"/>
          <w:szCs w:val="22"/>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28"/>
        <w:rPr/>
      </w:pPr>
      <w:r>
        <w:rPr>
          <w:sz w:val="22"/>
          <w:szCs w:val="22"/>
        </w:rPr>
        <w:t>План распределения объемов поставки продукции (форма 10) (</w:t>
      </w:r>
      <w:hyperlink w:anchor="Прил04_ФормыЗаявки">
        <w:r>
          <w:rPr>
            <w:rStyle w:val="Style14"/>
            <w:sz w:val="22"/>
            <w:szCs w:val="22"/>
          </w:rPr>
          <w:t>Приложение № 4</w:t>
        </w:r>
      </w:hyperlink>
      <w:r>
        <w:rPr>
          <w:sz w:val="22"/>
          <w:szCs w:val="22"/>
        </w:rPr>
        <w:t>) – только если заявка подана Коллективным участником или Генеральным подрядчиком;</w:t>
      </w:r>
    </w:p>
    <w:p>
      <w:pPr>
        <w:pStyle w:val="Style28"/>
        <w:rPr>
          <w:rFonts w:ascii="Times New Roman" w:hAnsi="Times New Roman"/>
          <w:sz w:val="22"/>
          <w:szCs w:val="22"/>
        </w:rPr>
      </w:pPr>
      <w:bookmarkStart w:id="167" w:name="_Ref130376111"/>
      <w:r>
        <w:rPr>
          <w:sz w:val="22"/>
          <w:szCs w:val="22"/>
        </w:rPr>
        <w:t>иной документ, указанный в протоколе закупки (которым назначена переторжка), связанный с предметом проводимой переторжки.</w:t>
      </w:r>
      <w:bookmarkEnd w:id="167"/>
    </w:p>
    <w:p>
      <w:pPr>
        <w:pStyle w:val="Style27"/>
        <w:rPr>
          <w:rFonts w:ascii="Times New Roman" w:hAnsi="Times New Roman"/>
          <w:sz w:val="22"/>
          <w:szCs w:val="22"/>
        </w:rPr>
      </w:pPr>
      <w:r>
        <w:rPr>
          <w:sz w:val="22"/>
          <w:szCs w:val="22"/>
        </w:rPr>
        <w:t>Если Участник, принявший участие в переторжке в заочной форме, не предоставил документы, в соответствии с пунктом </w:t>
      </w:r>
      <w:r>
        <w:rPr>
          <w:sz w:val="22"/>
          <w:szCs w:val="22"/>
        </w:rPr>
        <w:fldChar w:fldCharType="begin"/>
      </w:r>
      <w:r>
        <w:rPr>
          <w:sz w:val="22"/>
          <w:szCs w:val="22"/>
        </w:rPr>
        <w:instrText xml:space="preserve"> REF _Ref136245191 \r \h </w:instrText>
      </w:r>
      <w:r>
        <w:rPr>
          <w:sz w:val="22"/>
          <w:szCs w:val="22"/>
        </w:rPr>
        <w:fldChar w:fldCharType="separate"/>
      </w:r>
      <w:r>
        <w:rPr>
          <w:sz w:val="22"/>
          <w:szCs w:val="22"/>
        </w:rPr>
        <w:t>4.11.15</w:t>
      </w:r>
      <w:r>
        <w:rPr>
          <w:sz w:val="22"/>
          <w:szCs w:val="22"/>
        </w:rPr>
        <w:fldChar w:fldCharType="end"/>
      </w:r>
      <w:r>
        <w:rPr>
          <w:sz w:val="22"/>
          <w:szCs w:val="22"/>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27"/>
        <w:rPr>
          <w:rFonts w:ascii="Times New Roman" w:hAnsi="Times New Roman"/>
          <w:sz w:val="22"/>
          <w:szCs w:val="22"/>
        </w:rPr>
      </w:pPr>
      <w:r>
        <w:rPr>
          <w:sz w:val="22"/>
          <w:szCs w:val="22"/>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27"/>
        <w:rPr>
          <w:rFonts w:ascii="Times New Roman" w:hAnsi="Times New Roman"/>
          <w:sz w:val="22"/>
          <w:szCs w:val="22"/>
        </w:rPr>
      </w:pPr>
      <w:r>
        <w:rPr>
          <w:sz w:val="22"/>
          <w:szCs w:val="22"/>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26"/>
        <w:rPr>
          <w:rFonts w:ascii="Times New Roman" w:hAnsi="Times New Roman"/>
          <w:sz w:val="22"/>
          <w:szCs w:val="22"/>
        </w:rPr>
      </w:pPr>
      <w:bookmarkStart w:id="168" w:name="_Ref125362626"/>
      <w:bookmarkStart w:id="169" w:name="_Ref125365335"/>
      <w:bookmarkStart w:id="170" w:name="_Ref125365519"/>
      <w:bookmarkStart w:id="171" w:name="_Ref125366534"/>
      <w:bookmarkStart w:id="172" w:name="_Ref125369041"/>
      <w:bookmarkStart w:id="173" w:name="_Ref125369308"/>
      <w:bookmarkStart w:id="174" w:name="_Toc230928853"/>
      <w:r>
        <w:rPr>
          <w:sz w:val="22"/>
          <w:szCs w:val="22"/>
        </w:rPr>
        <w:t>Оценка и сопоставление заявок</w:t>
      </w:r>
      <w:bookmarkEnd w:id="168"/>
      <w:bookmarkEnd w:id="169"/>
      <w:bookmarkEnd w:id="170"/>
      <w:bookmarkEnd w:id="171"/>
      <w:bookmarkEnd w:id="172"/>
      <w:bookmarkEnd w:id="173"/>
      <w:bookmarkEnd w:id="174"/>
    </w:p>
    <w:p>
      <w:pPr>
        <w:pStyle w:val="Style27"/>
        <w:rPr/>
      </w:pPr>
      <w:r>
        <w:rPr>
          <w:sz w:val="22"/>
          <w:szCs w:val="22"/>
        </w:rPr>
        <w:t>Оценка и сопоставление заявок, признанных Закупочной комиссией соответствующими по результатам рассмотрения заявок (подраздел </w:t>
      </w:r>
      <w:r>
        <w:rPr>
          <w:sz w:val="22"/>
          <w:szCs w:val="22"/>
        </w:rPr>
        <w:fldChar w:fldCharType="begin"/>
      </w:r>
      <w:r>
        <w:rPr>
          <w:sz w:val="22"/>
          <w:szCs w:val="22"/>
        </w:rPr>
        <w:instrText xml:space="preserve"> REF _Ref125362364 \w \h </w:instrText>
      </w:r>
      <w:r>
        <w:rPr>
          <w:sz w:val="22"/>
          <w:szCs w:val="22"/>
        </w:rPr>
        <w:fldChar w:fldCharType="separate"/>
      </w:r>
      <w:r>
        <w:rPr>
          <w:sz w:val="22"/>
          <w:szCs w:val="22"/>
        </w:rPr>
        <w:t>4.9</w:t>
      </w:r>
      <w:r>
        <w:rPr>
          <w:sz w:val="22"/>
          <w:szCs w:val="22"/>
        </w:rPr>
        <w:fldChar w:fldCharType="end"/>
      </w:r>
      <w:r>
        <w:rPr>
          <w:sz w:val="22"/>
          <w:szCs w:val="22"/>
        </w:rPr>
        <w:t xml:space="preserve">), осуществляется в соответствии с </w:t>
      </w:r>
      <w:hyperlink w:anchor="Прил08_ПорядокОценки">
        <w:r>
          <w:rPr>
            <w:rStyle w:val="Style14"/>
            <w:sz w:val="22"/>
            <w:szCs w:val="22"/>
          </w:rPr>
          <w:t>Порядком и критериями оценки и сопоставления заявок (Приложение № 8)</w:t>
        </w:r>
      </w:hyperlink>
      <w:r>
        <w:rPr>
          <w:rStyle w:val="Style14"/>
          <w:sz w:val="22"/>
          <w:szCs w:val="22"/>
        </w:rPr>
        <w:t>.</w:t>
      </w:r>
      <w:r>
        <w:rPr>
          <w:sz w:val="22"/>
          <w:szCs w:val="22"/>
        </w:rPr>
        <w:t xml:space="preserve">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sz w:val="22"/>
          <w:szCs w:val="22"/>
        </w:rPr>
        <w:fldChar w:fldCharType="begin"/>
      </w:r>
      <w:r>
        <w:rPr>
          <w:sz w:val="22"/>
          <w:szCs w:val="22"/>
        </w:rPr>
        <w:instrText xml:space="preserve"> REF _Ref125362430 \r \h </w:instrText>
      </w:r>
      <w:r>
        <w:rPr>
          <w:sz w:val="22"/>
          <w:szCs w:val="22"/>
        </w:rPr>
        <w:fldChar w:fldCharType="separate"/>
      </w:r>
      <w:r>
        <w:rPr>
          <w:sz w:val="22"/>
          <w:szCs w:val="22"/>
        </w:rPr>
        <w:t>4.11</w:t>
      </w:r>
      <w:r>
        <w:rPr>
          <w:sz w:val="22"/>
          <w:szCs w:val="22"/>
        </w:rPr>
        <w:fldChar w:fldCharType="end"/>
      </w:r>
      <w:r>
        <w:rPr>
          <w:sz w:val="22"/>
          <w:szCs w:val="22"/>
        </w:rPr>
        <w:t>), с учетом даты и времени последнего изменения заявки на ЭП, обусловленного переторжкой).</w:t>
      </w:r>
    </w:p>
    <w:p>
      <w:pPr>
        <w:pStyle w:val="Style27"/>
        <w:rPr>
          <w:rFonts w:ascii="Times New Roman" w:hAnsi="Times New Roman"/>
          <w:sz w:val="22"/>
          <w:szCs w:val="22"/>
        </w:rPr>
      </w:pPr>
      <w:r>
        <w:rPr>
          <w:sz w:val="22"/>
          <w:szCs w:val="22"/>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7"/>
        <w:rPr>
          <w:rFonts w:ascii="Times New Roman" w:hAnsi="Times New Roman"/>
          <w:sz w:val="22"/>
          <w:szCs w:val="22"/>
        </w:rPr>
      </w:pPr>
      <w:r>
        <w:rPr>
          <w:sz w:val="22"/>
          <w:szCs w:val="22"/>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27"/>
        <w:rPr>
          <w:rFonts w:ascii="Times New Roman" w:hAnsi="Times New Roman"/>
          <w:sz w:val="22"/>
          <w:szCs w:val="22"/>
        </w:rPr>
      </w:pPr>
      <w:r>
        <w:rPr>
          <w:sz w:val="22"/>
          <w:szCs w:val="22"/>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sz w:val="22"/>
          <w:szCs w:val="22"/>
        </w:rPr>
        <w:fldChar w:fldCharType="begin"/>
      </w:r>
      <w:r>
        <w:rPr>
          <w:sz w:val="22"/>
          <w:szCs w:val="22"/>
        </w:rPr>
        <w:instrText xml:space="preserve"> REF _Ref130985951 \r \h </w:instrText>
      </w:r>
      <w:r>
        <w:rPr>
          <w:sz w:val="22"/>
          <w:szCs w:val="22"/>
        </w:rPr>
        <w:fldChar w:fldCharType="separate"/>
      </w:r>
      <w:r>
        <w:rPr>
          <w:sz w:val="22"/>
          <w:szCs w:val="22"/>
        </w:rPr>
        <w:t>4.13</w:t>
      </w:r>
      <w:r>
        <w:rPr>
          <w:sz w:val="22"/>
          <w:szCs w:val="22"/>
        </w:rPr>
        <w:fldChar w:fldCharType="end"/>
      </w:r>
      <w:r>
        <w:rPr>
          <w:sz w:val="22"/>
          <w:szCs w:val="22"/>
        </w:rPr>
        <w:t>).</w:t>
      </w:r>
    </w:p>
    <w:p>
      <w:pPr>
        <w:pStyle w:val="Style27"/>
        <w:rPr>
          <w:rFonts w:ascii="Times New Roman" w:hAnsi="Times New Roman"/>
          <w:sz w:val="22"/>
          <w:szCs w:val="22"/>
        </w:rPr>
      </w:pPr>
      <w:r>
        <w:rPr>
          <w:sz w:val="22"/>
          <w:szCs w:val="22"/>
        </w:rPr>
        <w:t>Результаты оценки и сопоставления заявок вносятся в итоговый протокол по результатам закупки.</w:t>
      </w:r>
    </w:p>
    <w:p>
      <w:pPr>
        <w:pStyle w:val="Style26"/>
        <w:rPr>
          <w:rFonts w:ascii="Times New Roman" w:hAnsi="Times New Roman"/>
          <w:sz w:val="22"/>
          <w:szCs w:val="22"/>
        </w:rPr>
      </w:pPr>
      <w:bookmarkStart w:id="175" w:name="_Ref186213053"/>
      <w:bookmarkStart w:id="176" w:name="_Ref130985951"/>
      <w:bookmarkStart w:id="177" w:name="_Ref132894106"/>
      <w:bookmarkStart w:id="178" w:name="_Ref132894111"/>
      <w:bookmarkStart w:id="179" w:name="_Toc230928854"/>
      <w:bookmarkStart w:id="180" w:name="_Ref125366064"/>
      <w:bookmarkStart w:id="181" w:name="_Ref125369991"/>
      <w:bookmarkStart w:id="182" w:name="_Ref125370507"/>
      <w:bookmarkStart w:id="183" w:name="_Ref130458671"/>
      <w:r>
        <w:rPr>
          <w:sz w:val="22"/>
          <w:szCs w:val="22"/>
        </w:rPr>
        <w:t>Применение законодательства о национальном режиме</w:t>
      </w:r>
      <w:bookmarkEnd w:id="175"/>
      <w:bookmarkEnd w:id="176"/>
      <w:bookmarkEnd w:id="177"/>
      <w:bookmarkEnd w:id="178"/>
      <w:bookmarkEnd w:id="179"/>
      <w:bookmarkEnd w:id="180"/>
      <w:bookmarkEnd w:id="181"/>
      <w:bookmarkEnd w:id="182"/>
      <w:bookmarkEnd w:id="183"/>
    </w:p>
    <w:p>
      <w:pPr>
        <w:pStyle w:val="Style27"/>
        <w:rPr>
          <w:rFonts w:ascii="Times New Roman" w:hAnsi="Times New Roman"/>
          <w:sz w:val="22"/>
          <w:szCs w:val="22"/>
        </w:rPr>
      </w:pPr>
      <w:r>
        <w:rPr>
          <w:sz w:val="22"/>
          <w:szCs w:val="22"/>
        </w:rPr>
        <w:t>Настоящий подраздел применяется исходя из информации, установленной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27"/>
        <w:rPr>
          <w:rFonts w:ascii="Times New Roman" w:hAnsi="Times New Roman"/>
          <w:sz w:val="22"/>
          <w:szCs w:val="22"/>
        </w:rPr>
      </w:pPr>
      <w:bookmarkStart w:id="184" w:name="_Ref207280314"/>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bookmarkEnd w:id="184"/>
    </w:p>
    <w:p>
      <w:pPr>
        <w:pStyle w:val="Style27"/>
        <w:rPr>
          <w:rFonts w:ascii="Times New Roman" w:hAnsi="Times New Roman"/>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p>
    <w:p>
      <w:pPr>
        <w:pStyle w:val="Style27"/>
        <w:rPr>
          <w:rFonts w:ascii="Times New Roman" w:hAnsi="Times New Roman"/>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преимущества российской продукции, то при оценке и сопоставлении заявок, а также их ранжировке (подраздел </w:t>
      </w:r>
      <w:r>
        <w:rPr>
          <w:sz w:val="22"/>
          <w:szCs w:val="22"/>
        </w:rPr>
        <w:fldChar w:fldCharType="begin"/>
      </w:r>
      <w:r>
        <w:rPr>
          <w:sz w:val="22"/>
          <w:szCs w:val="22"/>
        </w:rPr>
        <w:instrText xml:space="preserve"> REF _Ref125362626 \r \h </w:instrText>
      </w:r>
      <w:r>
        <w:rPr>
          <w:sz w:val="22"/>
          <w:szCs w:val="22"/>
        </w:rPr>
        <w:fldChar w:fldCharType="separate"/>
      </w:r>
      <w:r>
        <w:rPr>
          <w:sz w:val="22"/>
          <w:szCs w:val="22"/>
        </w:rPr>
        <w:t>4.12</w:t>
      </w:r>
      <w:r>
        <w:rPr>
          <w:sz w:val="22"/>
          <w:szCs w:val="22"/>
        </w:rPr>
        <w:fldChar w:fldCharType="end"/>
      </w:r>
      <w:r>
        <w:rPr>
          <w:sz w:val="22"/>
          <w:szCs w:val="22"/>
        </w:rPr>
        <w:t>), осуществляется снижение</w:t>
      </w:r>
      <w:r>
        <w:rPr>
          <w:rStyle w:val="FootnoteReference"/>
          <w:sz w:val="22"/>
          <w:szCs w:val="22"/>
        </w:rPr>
        <w:footnoteReference w:id="9"/>
      </w:r>
      <w:r>
        <w:rPr>
          <w:sz w:val="22"/>
          <w:szCs w:val="22"/>
        </w:rPr>
        <w:t xml:space="preserve">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w:t>
      </w:r>
      <w:bookmarkStart w:id="185" w:name="_Hlk198901350"/>
      <w:r>
        <w:rPr>
          <w:sz w:val="22"/>
          <w:szCs w:val="22"/>
        </w:rPr>
        <w:t>(в том числе поставляемых при выполнении закупаемых работ, оказании закупаемых услуг))</w:t>
      </w:r>
      <w:bookmarkEnd w:id="185"/>
      <w:r>
        <w:rPr>
          <w:sz w:val="22"/>
          <w:szCs w:val="22"/>
        </w:rPr>
        <w:t>, при условии наличия допущенной заявки с иностранной продукцией (на поставку товара иностранного происхождения).</w:t>
      </w:r>
    </w:p>
    <w:p>
      <w:pPr>
        <w:pStyle w:val="Style27"/>
        <w:rPr>
          <w:rFonts w:ascii="Times New Roman" w:hAnsi="Times New Roman"/>
          <w:sz w:val="22"/>
          <w:szCs w:val="22"/>
        </w:rPr>
      </w:pPr>
      <w:bookmarkStart w:id="186" w:name="_Ref192700787"/>
      <w:bookmarkStart w:id="187" w:name="_Ref196303561"/>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bookmarkEnd w:id="186"/>
      <w:bookmarkEnd w:id="187"/>
    </w:p>
    <w:p>
      <w:pPr>
        <w:pStyle w:val="Style27"/>
        <w:rPr/>
      </w:pPr>
      <w:r>
        <w:rPr>
          <w:sz w:val="22"/>
          <w:szCs w:val="22"/>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sz w:val="22"/>
          <w:szCs w:val="22"/>
        </w:rPr>
        <w:fldChar w:fldCharType="begin"/>
      </w:r>
      <w:r>
        <w:rPr>
          <w:sz w:val="22"/>
          <w:szCs w:val="22"/>
        </w:rPr>
        <w:instrText xml:space="preserve"> REF _Ref207280314 \r \h </w:instrText>
      </w:r>
      <w:r>
        <w:rPr>
          <w:sz w:val="22"/>
          <w:szCs w:val="22"/>
        </w:rPr>
        <w:fldChar w:fldCharType="separate"/>
      </w:r>
      <w:r>
        <w:rPr>
          <w:sz w:val="22"/>
          <w:szCs w:val="22"/>
        </w:rPr>
        <w:t>4.13.2</w:t>
      </w:r>
      <w:r>
        <w:rPr>
          <w:sz w:val="22"/>
          <w:szCs w:val="22"/>
        </w:rPr>
        <w:fldChar w:fldCharType="end"/>
      </w:r>
      <w:r>
        <w:rPr>
          <w:sz w:val="22"/>
          <w:szCs w:val="22"/>
        </w:rPr>
        <w:t xml:space="preserve"> – </w:t>
      </w:r>
      <w:r>
        <w:rPr>
          <w:sz w:val="22"/>
          <w:szCs w:val="22"/>
        </w:rPr>
        <w:fldChar w:fldCharType="begin"/>
      </w:r>
      <w:r>
        <w:rPr>
          <w:sz w:val="22"/>
          <w:szCs w:val="22"/>
        </w:rPr>
        <w:instrText xml:space="preserve"> REF _Ref192700787 \r \h </w:instrText>
      </w:r>
      <w:r>
        <w:rPr>
          <w:sz w:val="22"/>
          <w:szCs w:val="22"/>
        </w:rPr>
        <w:fldChar w:fldCharType="separate"/>
      </w:r>
      <w:r>
        <w:rPr>
          <w:sz w:val="22"/>
          <w:szCs w:val="22"/>
        </w:rPr>
        <w:t>4.13.5</w:t>
      </w:r>
      <w:r>
        <w:rPr>
          <w:sz w:val="22"/>
          <w:szCs w:val="22"/>
        </w:rPr>
        <w:fldChar w:fldCharType="end"/>
      </w:r>
      <w:r>
        <w:rPr>
          <w:sz w:val="22"/>
          <w:szCs w:val="22"/>
        </w:rPr>
        <w:t>), установлены в Структуре НМЦ (в составе Коммерческого предложения (форма 3) (</w:t>
      </w:r>
      <w:hyperlink w:anchor="Прил04_ФормыЗаявки">
        <w:r>
          <w:rPr>
            <w:rStyle w:val="Style14"/>
            <w:sz w:val="22"/>
            <w:szCs w:val="22"/>
          </w:rPr>
          <w:t>Приложение № 4</w:t>
        </w:r>
      </w:hyperlink>
      <w:r>
        <w:rPr>
          <w:sz w:val="22"/>
          <w:szCs w:val="22"/>
        </w:rPr>
        <w:t>), а также в Технических требованиях (Приложение №1) в части установления требований к подтверждающим документам.</w:t>
      </w:r>
    </w:p>
    <w:p>
      <w:pPr>
        <w:pStyle w:val="Style27"/>
        <w:keepNext w:val="true"/>
        <w:rPr>
          <w:rFonts w:ascii="Times New Roman" w:hAnsi="Times New Roman"/>
          <w:sz w:val="22"/>
          <w:szCs w:val="22"/>
        </w:rPr>
      </w:pPr>
      <w:r>
        <w:rPr>
          <w:sz w:val="22"/>
          <w:szCs w:val="22"/>
        </w:rPr>
        <w:t>Товар приравнивается к товарам, происходящим из иностранного государства (не являющегося государством – членом ЕАЭС), если:</w:t>
      </w:r>
    </w:p>
    <w:p>
      <w:pPr>
        <w:pStyle w:val="Style28"/>
        <w:rPr>
          <w:rFonts w:ascii="Times New Roman" w:hAnsi="Times New Roman"/>
          <w:sz w:val="22"/>
          <w:szCs w:val="22"/>
        </w:rPr>
      </w:pPr>
      <w:r>
        <w:rPr>
          <w:sz w:val="22"/>
          <w:szCs w:val="22"/>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8"/>
        <w:rPr>
          <w:rFonts w:ascii="Times New Roman" w:hAnsi="Times New Roman"/>
          <w:sz w:val="22"/>
          <w:szCs w:val="22"/>
        </w:rPr>
      </w:pPr>
      <w:r>
        <w:rPr>
          <w:sz w:val="22"/>
          <w:szCs w:val="22"/>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7"/>
        <w:rPr>
          <w:rFonts w:ascii="Times New Roman" w:hAnsi="Times New Roman"/>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7"/>
        <w:rPr>
          <w:rFonts w:ascii="Times New Roman" w:hAnsi="Times New Roman"/>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7"/>
        <w:rPr>
          <w:rFonts w:ascii="Times New Roman" w:hAnsi="Times New Roman"/>
          <w:sz w:val="22"/>
          <w:szCs w:val="22"/>
        </w:rPr>
      </w:pPr>
      <w:bookmarkStart w:id="188" w:name="_Hlk191561456"/>
      <w:r>
        <w:rPr>
          <w:sz w:val="22"/>
          <w:szCs w:val="22"/>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88"/>
      <w:r>
        <w:rPr>
          <w:sz w:val="22"/>
          <w:szCs w:val="22"/>
        </w:rPr>
        <w:t>.</w:t>
      </w:r>
    </w:p>
    <w:p>
      <w:pPr>
        <w:pStyle w:val="Style27"/>
        <w:rPr>
          <w:rFonts w:ascii="Times New Roman" w:hAnsi="Times New Roman"/>
          <w:sz w:val="22"/>
          <w:szCs w:val="22"/>
        </w:rPr>
      </w:pPr>
      <w:r>
        <w:rPr>
          <w:sz w:val="22"/>
          <w:szCs w:val="22"/>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7"/>
        <w:rPr>
          <w:rFonts w:ascii="Times New Roman" w:hAnsi="Times New Roman"/>
          <w:sz w:val="22"/>
          <w:szCs w:val="22"/>
        </w:rPr>
      </w:pPr>
      <w:r>
        <w:rPr>
          <w:sz w:val="22"/>
          <w:szCs w:val="22"/>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6"/>
        <w:rPr>
          <w:rFonts w:ascii="Times New Roman" w:hAnsi="Times New Roman"/>
          <w:sz w:val="22"/>
          <w:szCs w:val="22"/>
        </w:rPr>
      </w:pPr>
      <w:bookmarkStart w:id="189" w:name="_Ref125362658"/>
      <w:bookmarkStart w:id="190" w:name="_Ref125366091"/>
      <w:bookmarkStart w:id="191" w:name="_Ref125367242"/>
      <w:bookmarkStart w:id="192" w:name="_Toc230928855"/>
      <w:r>
        <w:rPr>
          <w:sz w:val="22"/>
          <w:szCs w:val="22"/>
        </w:rPr>
        <w:t>Подведение итогов закупки (определение Победителя)</w:t>
      </w:r>
      <w:bookmarkEnd w:id="189"/>
      <w:bookmarkEnd w:id="190"/>
      <w:bookmarkEnd w:id="191"/>
      <w:bookmarkEnd w:id="192"/>
    </w:p>
    <w:p>
      <w:pPr>
        <w:pStyle w:val="Style27"/>
        <w:rPr>
          <w:rFonts w:ascii="Times New Roman" w:hAnsi="Times New Roman"/>
          <w:sz w:val="22"/>
          <w:szCs w:val="22"/>
        </w:rPr>
      </w:pPr>
      <w:r>
        <w:rPr>
          <w:sz w:val="22"/>
          <w:szCs w:val="22"/>
        </w:rPr>
        <w:t>Дата окончания срока подведения итогов закупки указана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7"/>
        <w:rPr>
          <w:rFonts w:ascii="Times New Roman" w:hAnsi="Times New Roman"/>
          <w:sz w:val="22"/>
          <w:szCs w:val="22"/>
        </w:rPr>
      </w:pPr>
      <w:r>
        <w:rPr>
          <w:sz w:val="22"/>
          <w:szCs w:val="22"/>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7"/>
        <w:rPr/>
      </w:pPr>
      <w:r>
        <w:rPr>
          <w:sz w:val="22"/>
          <w:szCs w:val="22"/>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r>
          <w:rPr>
            <w:rStyle w:val="Style14"/>
            <w:sz w:val="22"/>
            <w:szCs w:val="22"/>
          </w:rPr>
          <w:t>Приложение № 7</w:t>
        </w:r>
      </w:hyperlink>
      <w:r>
        <w:rPr>
          <w:sz w:val="22"/>
          <w:szCs w:val="22"/>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27"/>
        <w:rPr>
          <w:rFonts w:ascii="Times New Roman" w:hAnsi="Times New Roman"/>
          <w:sz w:val="22"/>
          <w:szCs w:val="22"/>
        </w:rPr>
      </w:pPr>
      <w:r>
        <w:rPr>
          <w:sz w:val="22"/>
          <w:szCs w:val="22"/>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7"/>
        <w:keepNext w:val="true"/>
        <w:rPr>
          <w:rFonts w:ascii="Times New Roman" w:hAnsi="Times New Roman"/>
          <w:sz w:val="22"/>
          <w:szCs w:val="22"/>
        </w:rPr>
      </w:pPr>
      <w:bookmarkStart w:id="193" w:name="_Ref125365974"/>
      <w:r>
        <w:rPr>
          <w:sz w:val="22"/>
          <w:szCs w:val="22"/>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sz w:val="22"/>
          <w:szCs w:val="22"/>
        </w:rPr>
        <w:footnoteReference w:id="10"/>
      </w:r>
      <w:r>
        <w:rPr>
          <w:sz w:val="22"/>
          <w:szCs w:val="22"/>
        </w:rPr>
        <w:t>:</w:t>
      </w:r>
      <w:bookmarkEnd w:id="193"/>
    </w:p>
    <w:p>
      <w:pPr>
        <w:pStyle w:val="Style28"/>
        <w:rPr>
          <w:rFonts w:ascii="Times New Roman" w:hAnsi="Times New Roman"/>
          <w:sz w:val="22"/>
          <w:szCs w:val="22"/>
        </w:rPr>
      </w:pPr>
      <w:r>
        <w:rPr>
          <w:sz w:val="22"/>
          <w:szCs w:val="22"/>
        </w:rPr>
        <w:t>дата подписания протокола;</w:t>
      </w:r>
    </w:p>
    <w:p>
      <w:pPr>
        <w:pStyle w:val="Style28"/>
        <w:rPr>
          <w:rFonts w:ascii="Times New Roman" w:hAnsi="Times New Roman"/>
          <w:sz w:val="22"/>
          <w:szCs w:val="22"/>
        </w:rPr>
      </w:pPr>
      <w:r>
        <w:rPr>
          <w:sz w:val="22"/>
          <w:szCs w:val="22"/>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rFonts w:ascii="Times New Roman" w:hAnsi="Times New Roman"/>
          <w:sz w:val="22"/>
          <w:szCs w:val="22"/>
        </w:rPr>
      </w:pPr>
      <w:r>
        <w:rPr>
          <w:sz w:val="22"/>
          <w:szCs w:val="22"/>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28"/>
        <w:keepNext w:val="true"/>
        <w:rPr>
          <w:rFonts w:ascii="Times New Roman" w:hAnsi="Times New Roman"/>
          <w:sz w:val="22"/>
          <w:szCs w:val="22"/>
        </w:rPr>
      </w:pPr>
      <w:r>
        <w:rPr>
          <w:sz w:val="22"/>
          <w:szCs w:val="22"/>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9"/>
        <w:rPr>
          <w:rFonts w:ascii="Times New Roman" w:hAnsi="Times New Roman"/>
          <w:sz w:val="22"/>
          <w:szCs w:val="22"/>
        </w:rPr>
      </w:pPr>
      <w:r>
        <w:rPr>
          <w:sz w:val="22"/>
          <w:szCs w:val="22"/>
        </w:rPr>
        <w:t>количества заявок, которые были отклонены;</w:t>
      </w:r>
    </w:p>
    <w:p>
      <w:pPr>
        <w:pStyle w:val="Style29"/>
        <w:rPr>
          <w:rFonts w:ascii="Times New Roman" w:hAnsi="Times New Roman"/>
          <w:sz w:val="22"/>
          <w:szCs w:val="22"/>
        </w:rPr>
      </w:pPr>
      <w:r>
        <w:rPr>
          <w:sz w:val="22"/>
          <w:szCs w:val="22"/>
        </w:rPr>
        <w:t>оснований отклонения каждой заявки с указанием положений Документации о закупке, которым не соответствует такая заявка;</w:t>
      </w:r>
    </w:p>
    <w:p>
      <w:pPr>
        <w:pStyle w:val="Style28"/>
        <w:rPr>
          <w:rFonts w:ascii="Times New Roman" w:hAnsi="Times New Roman"/>
          <w:sz w:val="22"/>
          <w:szCs w:val="22"/>
        </w:rPr>
      </w:pPr>
      <w:r>
        <w:rPr>
          <w:sz w:val="22"/>
          <w:szCs w:val="22"/>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8"/>
        <w:rPr>
          <w:rFonts w:ascii="Times New Roman" w:hAnsi="Times New Roman"/>
          <w:sz w:val="22"/>
          <w:szCs w:val="22"/>
        </w:rPr>
      </w:pPr>
      <w:bookmarkStart w:id="194" w:name="_Hlk149651367"/>
      <w:r>
        <w:rPr>
          <w:sz w:val="22"/>
          <w:szCs w:val="22"/>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bookmarkEnd w:id="194"/>
    </w:p>
    <w:p>
      <w:pPr>
        <w:pStyle w:val="Style28"/>
        <w:rPr>
          <w:rFonts w:ascii="Times New Roman" w:hAnsi="Times New Roman"/>
          <w:sz w:val="22"/>
          <w:szCs w:val="22"/>
        </w:rPr>
      </w:pPr>
      <w:r>
        <w:rPr>
          <w:sz w:val="22"/>
          <w:szCs w:val="22"/>
        </w:rPr>
        <w:t>наименование Победителя закупки или Единственного участника несостоявшейся закупки, с которым планируется заключить Договор;</w:t>
      </w:r>
    </w:p>
    <w:p>
      <w:pPr>
        <w:pStyle w:val="Style28"/>
        <w:rPr>
          <w:rFonts w:ascii="Times New Roman" w:hAnsi="Times New Roman"/>
          <w:sz w:val="22"/>
          <w:szCs w:val="22"/>
        </w:rPr>
      </w:pPr>
      <w:r>
        <w:rPr>
          <w:sz w:val="22"/>
          <w:szCs w:val="22"/>
        </w:rPr>
        <w:t>причины, по которым закупка признана несостоявшейся (в случае ее признания таковой),</w:t>
      </w:r>
    </w:p>
    <w:p>
      <w:pPr>
        <w:pStyle w:val="Style31"/>
        <w:ind w:left="1134"/>
        <w:rPr>
          <w:rFonts w:ascii="Times New Roman" w:hAnsi="Times New Roman"/>
          <w:sz w:val="22"/>
          <w:szCs w:val="22"/>
        </w:rPr>
      </w:pPr>
      <w:r>
        <w:rPr>
          <w:sz w:val="22"/>
          <w:szCs w:val="22"/>
        </w:rPr>
        <w:t>после чего Организатор официально размещает его в течение 3 (трех) календарных дней с даты подписания такого протокола.</w:t>
      </w:r>
    </w:p>
    <w:p>
      <w:pPr>
        <w:pStyle w:val="Style27"/>
        <w:rPr>
          <w:rFonts w:ascii="Times New Roman" w:hAnsi="Times New Roman"/>
          <w:sz w:val="22"/>
          <w:szCs w:val="22"/>
        </w:rPr>
      </w:pPr>
      <w:r>
        <w:rPr>
          <w:sz w:val="22"/>
          <w:szCs w:val="22"/>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7"/>
        <w:rPr>
          <w:rFonts w:ascii="Times New Roman" w:hAnsi="Times New Roman"/>
          <w:sz w:val="22"/>
          <w:szCs w:val="22"/>
        </w:rPr>
      </w:pPr>
      <w:r>
        <w:rPr>
          <w:sz w:val="22"/>
          <w:szCs w:val="22"/>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rFonts w:ascii="Times New Roman" w:hAnsi="Times New Roman"/>
          <w:sz w:val="22"/>
          <w:szCs w:val="22"/>
        </w:rPr>
      </w:pPr>
      <w:bookmarkStart w:id="195" w:name="_Ref125364149"/>
      <w:bookmarkStart w:id="196" w:name="_Ref125364187"/>
      <w:bookmarkStart w:id="197" w:name="_Ref125365305"/>
      <w:bookmarkStart w:id="198" w:name="_Ref125365570"/>
      <w:bookmarkStart w:id="199" w:name="_Ref125366631"/>
      <w:bookmarkStart w:id="200" w:name="_Ref125366796"/>
      <w:bookmarkStart w:id="201" w:name="_Toc230928856"/>
      <w:r>
        <w:rPr>
          <w:sz w:val="22"/>
          <w:szCs w:val="22"/>
        </w:rPr>
        <w:t>Признание закупки несостоявшейся</w:t>
      </w:r>
      <w:bookmarkEnd w:id="195"/>
      <w:bookmarkEnd w:id="196"/>
      <w:bookmarkEnd w:id="197"/>
      <w:bookmarkEnd w:id="198"/>
      <w:bookmarkEnd w:id="199"/>
      <w:bookmarkEnd w:id="200"/>
      <w:bookmarkEnd w:id="201"/>
    </w:p>
    <w:p>
      <w:pPr>
        <w:pStyle w:val="Style27"/>
        <w:keepNext w:val="true"/>
        <w:rPr>
          <w:rFonts w:ascii="Times New Roman" w:hAnsi="Times New Roman"/>
          <w:sz w:val="22"/>
          <w:szCs w:val="22"/>
        </w:rPr>
      </w:pPr>
      <w:r>
        <w:rPr>
          <w:sz w:val="22"/>
          <w:szCs w:val="22"/>
        </w:rPr>
        <w:t>Закупка признается несостоявшейся в следующих случаях:</w:t>
      </w:r>
    </w:p>
    <w:p>
      <w:pPr>
        <w:pStyle w:val="Style28"/>
        <w:rPr>
          <w:rFonts w:ascii="Times New Roman" w:hAnsi="Times New Roman"/>
          <w:sz w:val="22"/>
          <w:szCs w:val="22"/>
        </w:rPr>
      </w:pPr>
      <w:r>
        <w:rPr>
          <w:sz w:val="22"/>
          <w:szCs w:val="22"/>
        </w:rPr>
        <w:t>если по окончанию срока подачи заявок поступило менее 2 (двух) заявок (с учетом возможных отзывов заявок);</w:t>
      </w:r>
    </w:p>
    <w:p>
      <w:pPr>
        <w:pStyle w:val="Style28"/>
        <w:rPr>
          <w:rFonts w:ascii="Times New Roman" w:hAnsi="Times New Roman"/>
          <w:sz w:val="22"/>
          <w:szCs w:val="22"/>
        </w:rPr>
      </w:pPr>
      <w:r>
        <w:rPr>
          <w:sz w:val="22"/>
          <w:szCs w:val="22"/>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8"/>
        <w:rPr>
          <w:rFonts w:ascii="Times New Roman" w:hAnsi="Times New Roman"/>
          <w:sz w:val="22"/>
          <w:szCs w:val="22"/>
        </w:rPr>
      </w:pPr>
      <w:r>
        <w:rPr>
          <w:sz w:val="22"/>
          <w:szCs w:val="22"/>
        </w:rPr>
        <w:t xml:space="preserve">по результатам проведения закупки от заключения договора уклонились все допущенные Участники (подраздел </w:t>
      </w:r>
      <w:r>
        <w:rPr>
          <w:sz w:val="22"/>
          <w:szCs w:val="22"/>
        </w:rPr>
        <w:fldChar w:fldCharType="begin"/>
      </w:r>
      <w:r>
        <w:rPr>
          <w:sz w:val="22"/>
          <w:szCs w:val="22"/>
        </w:rPr>
        <w:instrText xml:space="preserve"> REF _Ref125367068 \r \h </w:instrText>
      </w:r>
      <w:r>
        <w:rPr>
          <w:sz w:val="22"/>
          <w:szCs w:val="22"/>
        </w:rPr>
        <w:fldChar w:fldCharType="separate"/>
      </w:r>
      <w:r>
        <w:rPr>
          <w:sz w:val="22"/>
          <w:szCs w:val="22"/>
        </w:rPr>
        <w:t>5.4</w:t>
      </w:r>
      <w:r>
        <w:rPr>
          <w:sz w:val="22"/>
          <w:szCs w:val="22"/>
        </w:rPr>
        <w:fldChar w:fldCharType="end"/>
      </w:r>
      <w:r>
        <w:rPr>
          <w:sz w:val="22"/>
          <w:szCs w:val="22"/>
        </w:rPr>
        <w:t>).</w:t>
      </w:r>
    </w:p>
    <w:p>
      <w:pPr>
        <w:pStyle w:val="Style27"/>
        <w:rPr>
          <w:rFonts w:ascii="Times New Roman" w:hAnsi="Times New Roman"/>
          <w:sz w:val="22"/>
          <w:szCs w:val="22"/>
        </w:rPr>
      </w:pPr>
      <w:r>
        <w:rPr>
          <w:sz w:val="22"/>
          <w:szCs w:val="22"/>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7"/>
        <w:keepNext w:val="true"/>
        <w:rPr>
          <w:rFonts w:ascii="Times New Roman" w:hAnsi="Times New Roman"/>
          <w:sz w:val="22"/>
          <w:szCs w:val="22"/>
        </w:rPr>
      </w:pPr>
      <w:r>
        <w:rPr>
          <w:sz w:val="22"/>
          <w:szCs w:val="22"/>
        </w:rPr>
        <w:t>В случае признания закупки несостоявшейся (с учетом условий, предусмотренных Положением о закупке):</w:t>
      </w:r>
    </w:p>
    <w:p>
      <w:pPr>
        <w:pStyle w:val="Style28"/>
        <w:rPr>
          <w:rFonts w:ascii="Times New Roman" w:hAnsi="Times New Roman"/>
          <w:sz w:val="22"/>
          <w:szCs w:val="22"/>
        </w:rPr>
      </w:pPr>
      <w:r>
        <w:rPr>
          <w:sz w:val="22"/>
          <w:szCs w:val="22"/>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(при наличии экономической целесообразности и/или при условии отсутствия времени на повторное проведение закупки).</w:t>
      </w:r>
    </w:p>
    <w:p>
      <w:pPr>
        <w:pStyle w:val="Style35"/>
        <w:numPr>
          <w:ilvl w:val="0"/>
          <w:numId w:val="0"/>
        </w:numPr>
        <w:ind w:hanging="0" w:left="1701"/>
        <w:rPr>
          <w:rFonts w:ascii="Times New Roman" w:hAnsi="Times New Roman"/>
          <w:sz w:val="22"/>
          <w:szCs w:val="22"/>
        </w:rPr>
      </w:pPr>
      <w:r>
        <w:rPr>
          <w:sz w:val="22"/>
          <w:szCs w:val="22"/>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21"/>
        </w:numPr>
        <w:tabs>
          <w:tab w:val="clear" w:pos="2552"/>
        </w:tabs>
        <w:ind w:hanging="426" w:left="2127"/>
        <w:rPr>
          <w:rFonts w:ascii="Times New Roman" w:hAnsi="Times New Roman"/>
          <w:sz w:val="22"/>
          <w:szCs w:val="22"/>
        </w:rPr>
      </w:pPr>
      <w:r>
        <w:rPr>
          <w:sz w:val="22"/>
          <w:szCs w:val="22"/>
        </w:rPr>
        <w:t>повторное проведение закупки (с изменением способа закупки, если применимо в соответствии с Положением о закупке);</w:t>
      </w:r>
    </w:p>
    <w:p>
      <w:pPr>
        <w:pStyle w:val="-1"/>
        <w:numPr>
          <w:ilvl w:val="0"/>
          <w:numId w:val="21"/>
        </w:numPr>
        <w:tabs>
          <w:tab w:val="clear" w:pos="2552"/>
        </w:tabs>
        <w:ind w:hanging="0" w:left="1701"/>
        <w:rPr>
          <w:rFonts w:ascii="Times New Roman" w:hAnsi="Times New Roman"/>
          <w:sz w:val="22"/>
          <w:szCs w:val="22"/>
        </w:rPr>
      </w:pPr>
      <w:r>
        <w:rPr>
          <w:sz w:val="22"/>
          <w:szCs w:val="22"/>
        </w:rPr>
        <w:t>отказ от заключения договора по следующим основаниям:</w:t>
      </w:r>
    </w:p>
    <w:p>
      <w:pPr>
        <w:pStyle w:val="-1"/>
        <w:numPr>
          <w:ilvl w:val="0"/>
          <w:numId w:val="22"/>
        </w:numPr>
        <w:tabs>
          <w:tab w:val="clear" w:pos="2552"/>
        </w:tabs>
        <w:ind w:hanging="283" w:left="2410"/>
        <w:rPr>
          <w:rFonts w:ascii="Times New Roman" w:hAnsi="Times New Roman"/>
          <w:sz w:val="22"/>
          <w:szCs w:val="22"/>
        </w:rPr>
      </w:pPr>
      <w:r>
        <w:rPr>
          <w:sz w:val="22"/>
          <w:szCs w:val="22"/>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2"/>
        </w:numPr>
        <w:tabs>
          <w:tab w:val="clear" w:pos="2552"/>
        </w:tabs>
        <w:ind w:hanging="283" w:left="2410"/>
        <w:rPr>
          <w:rFonts w:ascii="Times New Roman" w:hAnsi="Times New Roman"/>
          <w:sz w:val="22"/>
          <w:szCs w:val="22"/>
        </w:rPr>
      </w:pPr>
      <w:r>
        <w:rPr>
          <w:sz w:val="22"/>
          <w:szCs w:val="22"/>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22"/>
        </w:numPr>
        <w:tabs>
          <w:tab w:val="clear" w:pos="2552"/>
        </w:tabs>
        <w:ind w:hanging="283" w:left="2410"/>
        <w:rPr>
          <w:rFonts w:ascii="Times New Roman" w:hAnsi="Times New Roman"/>
          <w:sz w:val="22"/>
          <w:szCs w:val="22"/>
        </w:rPr>
      </w:pPr>
      <w:r>
        <w:rPr>
          <w:sz w:val="22"/>
          <w:szCs w:val="22"/>
        </w:rPr>
        <w:t>необходимость исполнения предписаний антимонопольного органа;</w:t>
      </w:r>
    </w:p>
    <w:p>
      <w:pPr>
        <w:pStyle w:val="-1"/>
        <w:numPr>
          <w:ilvl w:val="0"/>
          <w:numId w:val="21"/>
        </w:numPr>
        <w:tabs>
          <w:tab w:val="clear" w:pos="2552"/>
        </w:tabs>
        <w:ind w:hanging="426" w:left="2127"/>
        <w:rPr>
          <w:rFonts w:ascii="Times New Roman" w:hAnsi="Times New Roman"/>
          <w:sz w:val="22"/>
          <w:szCs w:val="22"/>
        </w:rPr>
      </w:pPr>
      <w:bookmarkStart w:id="202" w:name="_Hlk214281841"/>
      <w:r>
        <w:rPr>
          <w:sz w:val="22"/>
          <w:szCs w:val="22"/>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02"/>
    </w:p>
    <w:p>
      <w:pPr>
        <w:pStyle w:val="Style28"/>
        <w:rPr>
          <w:rFonts w:ascii="Times New Roman" w:hAnsi="Times New Roman"/>
          <w:sz w:val="22"/>
          <w:szCs w:val="22"/>
        </w:rPr>
      </w:pPr>
      <w:r>
        <w:rPr>
          <w:sz w:val="22"/>
          <w:szCs w:val="22"/>
        </w:rPr>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либо по результатам проведения закупки от заключения договора уклонились все допущенные Участники – Заказчик проводит повторную закупку (с изменением способа закупки, если применимо в соответствии с Положением о закупке).</w:t>
      </w:r>
    </w:p>
    <w:p>
      <w:pPr>
        <w:pStyle w:val="Style35"/>
        <w:numPr>
          <w:ilvl w:val="0"/>
          <w:numId w:val="0"/>
        </w:numPr>
        <w:ind w:hanging="0" w:left="1701"/>
        <w:rPr>
          <w:rFonts w:ascii="Times New Roman" w:hAnsi="Times New Roman"/>
          <w:sz w:val="22"/>
          <w:szCs w:val="22"/>
        </w:rPr>
      </w:pPr>
      <w:r>
        <w:rPr>
          <w:sz w:val="22"/>
          <w:szCs w:val="22"/>
        </w:rPr>
        <w:t>Заказчик вправе отказаться от проведения повторной закупки по следующим основаниям:</w:t>
      </w:r>
    </w:p>
    <w:p>
      <w:pPr>
        <w:pStyle w:val="-1"/>
        <w:numPr>
          <w:ilvl w:val="0"/>
          <w:numId w:val="22"/>
        </w:numPr>
        <w:tabs>
          <w:tab w:val="clear" w:pos="2552"/>
        </w:tabs>
        <w:ind w:hanging="426" w:left="2127"/>
        <w:rPr>
          <w:rFonts w:ascii="Times New Roman" w:hAnsi="Times New Roman"/>
          <w:sz w:val="22"/>
          <w:szCs w:val="22"/>
        </w:rPr>
      </w:pPr>
      <w:r>
        <w:rPr>
          <w:sz w:val="22"/>
          <w:szCs w:val="22"/>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2"/>
        </w:numPr>
        <w:tabs>
          <w:tab w:val="clear" w:pos="2552"/>
        </w:tabs>
        <w:ind w:hanging="426" w:left="2127"/>
        <w:rPr>
          <w:rFonts w:ascii="Times New Roman" w:hAnsi="Times New Roman"/>
          <w:sz w:val="22"/>
          <w:szCs w:val="22"/>
        </w:rPr>
      </w:pPr>
      <w:r>
        <w:rPr>
          <w:sz w:val="22"/>
          <w:szCs w:val="22"/>
        </w:rPr>
        <w:t>изменение потребности в продукции, в том числе изменение характеристик продукции;</w:t>
      </w:r>
    </w:p>
    <w:p>
      <w:pPr>
        <w:pStyle w:val="Style28"/>
        <w:numPr>
          <w:ilvl w:val="0"/>
          <w:numId w:val="19"/>
        </w:numPr>
        <w:ind w:hanging="426" w:left="2127"/>
        <w:rPr>
          <w:rFonts w:ascii="Times New Roman" w:hAnsi="Times New Roman"/>
          <w:sz w:val="22"/>
          <w:szCs w:val="22"/>
        </w:rPr>
      </w:pPr>
      <w:r>
        <w:rPr>
          <w:sz w:val="22"/>
          <w:szCs w:val="22"/>
        </w:rPr>
        <w:t>при отсутствии заявок, соответствующих установленным требованиям, по результатам повторного проведения закупки</w:t>
      </w:r>
      <w:bookmarkStart w:id="203" w:name="_Hlk214281858"/>
      <w:r>
        <w:rPr>
          <w:sz w:val="22"/>
          <w:szCs w:val="22"/>
        </w:rPr>
        <w:t>.</w:t>
      </w:r>
    </w:p>
    <w:p>
      <w:pPr>
        <w:pStyle w:val="Style26"/>
        <w:rPr>
          <w:rFonts w:ascii="Times New Roman" w:hAnsi="Times New Roman"/>
          <w:sz w:val="22"/>
          <w:szCs w:val="22"/>
        </w:rPr>
      </w:pPr>
      <w:bookmarkStart w:id="204" w:name="_Toc230928857"/>
      <w:bookmarkStart w:id="205" w:name="_Ref126141962"/>
      <w:bookmarkEnd w:id="203"/>
      <w:r>
        <w:rPr>
          <w:sz w:val="22"/>
          <w:szCs w:val="22"/>
        </w:rPr>
        <w:t>Отказ от проведения закупки</w:t>
      </w:r>
      <w:bookmarkEnd w:id="205"/>
      <w:r>
        <w:rPr>
          <w:sz w:val="22"/>
          <w:szCs w:val="22"/>
        </w:rPr>
        <w:t xml:space="preserve"> (отмена закупки)</w:t>
      </w:r>
      <w:bookmarkEnd w:id="204"/>
    </w:p>
    <w:p>
      <w:pPr>
        <w:pStyle w:val="Style27"/>
        <w:rPr>
          <w:rFonts w:ascii="Times New Roman" w:hAnsi="Times New Roman"/>
          <w:sz w:val="22"/>
          <w:szCs w:val="22"/>
        </w:rPr>
      </w:pPr>
      <w:r>
        <w:rPr>
          <w:sz w:val="22"/>
          <w:szCs w:val="22"/>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7"/>
        <w:rPr>
          <w:rFonts w:ascii="Times New Roman" w:hAnsi="Times New Roman"/>
          <w:sz w:val="22"/>
          <w:szCs w:val="22"/>
        </w:rPr>
      </w:pPr>
      <w:r>
        <w:rPr>
          <w:sz w:val="22"/>
          <w:szCs w:val="22"/>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7"/>
        <w:rPr>
          <w:rFonts w:ascii="Times New Roman" w:hAnsi="Times New Roman"/>
          <w:sz w:val="22"/>
          <w:szCs w:val="22"/>
        </w:rPr>
      </w:pPr>
      <w:r>
        <w:rPr>
          <w:sz w:val="22"/>
          <w:szCs w:val="22"/>
        </w:rPr>
        <w:t>Дополнительно организатор уведомляет всех Участников об отмене закупки посредством ЭП.</w:t>
      </w:r>
    </w:p>
    <w:p>
      <w:pPr>
        <w:pStyle w:val="Style27"/>
        <w:rPr>
          <w:rFonts w:ascii="Times New Roman" w:hAnsi="Times New Roman"/>
          <w:sz w:val="22"/>
          <w:szCs w:val="22"/>
        </w:rPr>
      </w:pPr>
      <w:r>
        <w:rPr>
          <w:sz w:val="22"/>
          <w:szCs w:val="22"/>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6"/>
        <w:rPr>
          <w:rFonts w:ascii="Times New Roman" w:hAnsi="Times New Roman"/>
          <w:sz w:val="22"/>
          <w:szCs w:val="22"/>
        </w:rPr>
      </w:pPr>
      <w:bookmarkStart w:id="206" w:name="_Ref130455226"/>
      <w:bookmarkStart w:id="207" w:name="_Toc230928858"/>
      <w:r>
        <w:rPr>
          <w:sz w:val="22"/>
          <w:szCs w:val="22"/>
        </w:rPr>
        <w:t>Особенности проведения закупки с необходимостью обеспечения заявки</w:t>
      </w:r>
      <w:bookmarkEnd w:id="206"/>
      <w:bookmarkEnd w:id="207"/>
    </w:p>
    <w:p>
      <w:pPr>
        <w:pStyle w:val="Style27"/>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предусмотрена обязанность Участников предоставить обеспечение заявки на участие в закупке.</w:t>
      </w:r>
    </w:p>
    <w:p>
      <w:pPr>
        <w:pStyle w:val="Style27"/>
        <w:rPr>
          <w:rFonts w:ascii="Times New Roman" w:hAnsi="Times New Roman"/>
          <w:sz w:val="22"/>
          <w:szCs w:val="22"/>
        </w:rPr>
      </w:pPr>
      <w:r>
        <w:rPr>
          <w:sz w:val="22"/>
          <w:szCs w:val="22"/>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rFonts w:ascii="Times New Roman" w:hAnsi="Times New Roman"/>
          <w:sz w:val="22"/>
          <w:szCs w:val="22"/>
        </w:rPr>
      </w:pPr>
      <w:r>
        <w:rPr>
          <w:sz w:val="22"/>
          <w:szCs w:val="22"/>
        </w:rPr>
        <w:t>Обязательства Участников, связанные с подачей заявок, обеспечиваются в форме, порядке и размере в соответствии с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Выбор формы (способа) обеспечения из числа предусмотренных осуществляется Участниками самостоятельно.</w:t>
      </w:r>
    </w:p>
    <w:p>
      <w:pPr>
        <w:pStyle w:val="Style27"/>
        <w:rPr>
          <w:rFonts w:ascii="Times New Roman" w:hAnsi="Times New Roman"/>
          <w:sz w:val="22"/>
          <w:szCs w:val="22"/>
        </w:rPr>
      </w:pPr>
      <w:r>
        <w:rPr>
          <w:sz w:val="22"/>
          <w:szCs w:val="22"/>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27"/>
        <w:rPr>
          <w:rFonts w:ascii="Times New Roman" w:hAnsi="Times New Roman"/>
          <w:sz w:val="22"/>
          <w:szCs w:val="22"/>
        </w:rPr>
      </w:pPr>
      <w:r>
        <w:rPr>
          <w:sz w:val="22"/>
          <w:szCs w:val="22"/>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28"/>
        <w:rPr>
          <w:rFonts w:ascii="Times New Roman" w:hAnsi="Times New Roman"/>
          <w:sz w:val="22"/>
          <w:szCs w:val="22"/>
        </w:rPr>
      </w:pPr>
      <w:r>
        <w:rPr>
          <w:sz w:val="22"/>
          <w:szCs w:val="22"/>
        </w:rPr>
        <w:t>банковская гарантия должна быть безотзывной и безусловной (гарантия по первому требованию);</w:t>
      </w:r>
    </w:p>
    <w:p>
      <w:pPr>
        <w:pStyle w:val="Style28"/>
        <w:rPr>
          <w:rFonts w:ascii="Times New Roman" w:hAnsi="Times New Roman"/>
          <w:sz w:val="22"/>
          <w:szCs w:val="22"/>
        </w:rPr>
      </w:pPr>
      <w:r>
        <w:rPr>
          <w:sz w:val="22"/>
          <w:szCs w:val="22"/>
        </w:rPr>
        <w:t>сумма банковской гарантии должна быть выражена в российских рублях и составлять не менее суммы в размере, указанном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28"/>
        <w:rPr>
          <w:rFonts w:ascii="Times New Roman" w:hAnsi="Times New Roman"/>
          <w:sz w:val="22"/>
          <w:szCs w:val="22"/>
        </w:rPr>
      </w:pPr>
      <w:r>
        <w:rPr>
          <w:sz w:val="22"/>
          <w:szCs w:val="22"/>
        </w:rPr>
        <w:t>банковская гарантия должна действовать не менее 120 (ста двадцати) календарных дней с даты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28"/>
        <w:rPr>
          <w:rFonts w:ascii="Times New Roman" w:hAnsi="Times New Roman"/>
          <w:sz w:val="22"/>
          <w:szCs w:val="22"/>
        </w:rPr>
      </w:pPr>
      <w:r>
        <w:rPr>
          <w:sz w:val="22"/>
          <w:szCs w:val="22"/>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28"/>
        <w:rPr>
          <w:rFonts w:ascii="Times New Roman" w:hAnsi="Times New Roman"/>
          <w:sz w:val="22"/>
          <w:szCs w:val="22"/>
        </w:rPr>
      </w:pPr>
      <w:r>
        <w:rPr>
          <w:sz w:val="22"/>
          <w:szCs w:val="22"/>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sz w:val="22"/>
          <w:szCs w:val="22"/>
        </w:rPr>
        <w:fldChar w:fldCharType="begin"/>
      </w:r>
      <w:r>
        <w:rPr>
          <w:sz w:val="22"/>
          <w:szCs w:val="22"/>
        </w:rPr>
        <w:instrText xml:space="preserve"> REF _Ref228966528 \r \h </w:instrText>
      </w:r>
      <w:r>
        <w:rPr>
          <w:sz w:val="22"/>
          <w:szCs w:val="22"/>
        </w:rPr>
        <w:fldChar w:fldCharType="separate"/>
      </w:r>
      <w:r>
        <w:rPr>
          <w:sz w:val="22"/>
          <w:szCs w:val="22"/>
        </w:rPr>
        <w:t>4.17.11</w:t>
      </w:r>
      <w:r>
        <w:rPr>
          <w:sz w:val="22"/>
          <w:szCs w:val="22"/>
        </w:rPr>
        <w:fldChar w:fldCharType="end"/>
      </w:r>
      <w:r>
        <w:rPr>
          <w:sz w:val="22"/>
          <w:szCs w:val="22"/>
        </w:rPr>
        <w:t>;</w:t>
      </w:r>
    </w:p>
    <w:p>
      <w:pPr>
        <w:pStyle w:val="Style28"/>
        <w:rPr>
          <w:rFonts w:ascii="Times New Roman" w:hAnsi="Times New Roman"/>
          <w:sz w:val="22"/>
          <w:szCs w:val="22"/>
        </w:rPr>
      </w:pPr>
      <w:r>
        <w:rPr>
          <w:sz w:val="22"/>
          <w:szCs w:val="22"/>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28"/>
        <w:rPr>
          <w:rFonts w:ascii="Times New Roman" w:hAnsi="Times New Roman"/>
          <w:sz w:val="22"/>
          <w:szCs w:val="22"/>
        </w:rPr>
      </w:pPr>
      <w:r>
        <w:rPr>
          <w:sz w:val="22"/>
          <w:szCs w:val="22"/>
        </w:rPr>
        <w:t>платеж по банковской гарантии должен быть осуществлен в течение 10 (десяти) рабочих дней после обращения бенефициара;</w:t>
      </w:r>
    </w:p>
    <w:p>
      <w:pPr>
        <w:pStyle w:val="Style28"/>
        <w:rPr>
          <w:rFonts w:ascii="Times New Roman" w:hAnsi="Times New Roman"/>
          <w:sz w:val="22"/>
          <w:szCs w:val="22"/>
        </w:rPr>
      </w:pPr>
      <w:r>
        <w:rPr>
          <w:sz w:val="22"/>
          <w:szCs w:val="22"/>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28"/>
        <w:rPr>
          <w:rFonts w:ascii="Times New Roman" w:hAnsi="Times New Roman"/>
          <w:sz w:val="22"/>
          <w:szCs w:val="22"/>
        </w:rPr>
      </w:pPr>
      <w:r>
        <w:rPr>
          <w:sz w:val="22"/>
          <w:szCs w:val="22"/>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sz w:val="22"/>
          <w:szCs w:val="22"/>
        </w:rPr>
        <w:footnoteReference w:id="11"/>
      </w:r>
      <w:r>
        <w:rPr>
          <w:sz w:val="22"/>
          <w:szCs w:val="22"/>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28"/>
        <w:rPr>
          <w:rFonts w:ascii="Times New Roman" w:hAnsi="Times New Roman"/>
          <w:sz w:val="22"/>
          <w:szCs w:val="22"/>
        </w:rPr>
      </w:pPr>
      <w:r>
        <w:rPr>
          <w:sz w:val="22"/>
          <w:szCs w:val="22"/>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FootnoteReference"/>
          <w:sz w:val="22"/>
          <w:szCs w:val="22"/>
        </w:rPr>
        <w:footnoteReference w:id="12"/>
      </w:r>
      <w:r>
        <w:rPr>
          <w:sz w:val="22"/>
          <w:szCs w:val="22"/>
        </w:rPr>
        <w:t xml:space="preserve"> в качестве органа, компетентного разрешать споры из банковской гарантии.</w:t>
      </w:r>
    </w:p>
    <w:p>
      <w:pPr>
        <w:pStyle w:val="Style27"/>
        <w:rPr>
          <w:rFonts w:ascii="Times New Roman" w:hAnsi="Times New Roman"/>
          <w:sz w:val="22"/>
          <w:szCs w:val="22"/>
        </w:rPr>
      </w:pPr>
      <w:r>
        <w:rPr>
          <w:sz w:val="22"/>
          <w:szCs w:val="22"/>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7"/>
        <w:rPr>
          <w:rFonts w:ascii="Times New Roman" w:hAnsi="Times New Roman"/>
          <w:sz w:val="22"/>
          <w:szCs w:val="22"/>
        </w:rPr>
      </w:pPr>
      <w:r>
        <w:rPr>
          <w:sz w:val="22"/>
          <w:szCs w:val="22"/>
        </w:rPr>
        <w:t>При многолотовой закупке (подраздел </w:t>
      </w:r>
      <w:r>
        <w:rPr>
          <w:sz w:val="22"/>
          <w:szCs w:val="22"/>
        </w:rPr>
        <w:fldChar w:fldCharType="begin"/>
      </w:r>
      <w:r>
        <w:rPr>
          <w:sz w:val="22"/>
          <w:szCs w:val="22"/>
        </w:rPr>
        <w:instrText xml:space="preserve"> REF _Ref149317278 \n \h </w:instrText>
      </w:r>
      <w:r>
        <w:rPr>
          <w:sz w:val="22"/>
          <w:szCs w:val="22"/>
        </w:rPr>
        <w:fldChar w:fldCharType="separate"/>
      </w:r>
      <w:r>
        <w:rPr>
          <w:sz w:val="22"/>
          <w:szCs w:val="22"/>
        </w:rPr>
        <w:t>4.18</w:t>
      </w:r>
      <w:r>
        <w:rPr>
          <w:sz w:val="22"/>
          <w:szCs w:val="22"/>
        </w:rPr>
        <w:fldChar w:fldCharType="end"/>
      </w:r>
      <w:r>
        <w:rPr>
          <w:sz w:val="22"/>
          <w:szCs w:val="22"/>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7"/>
        <w:rPr>
          <w:rFonts w:ascii="Times New Roman" w:hAnsi="Times New Roman"/>
          <w:sz w:val="22"/>
          <w:szCs w:val="22"/>
        </w:rPr>
      </w:pPr>
      <w:r>
        <w:rPr>
          <w:sz w:val="22"/>
          <w:szCs w:val="22"/>
        </w:rPr>
        <w:t>При подаче заявки с альтернативными предложениями (подраздел </w:t>
      </w:r>
      <w:r>
        <w:rPr>
          <w:sz w:val="22"/>
          <w:szCs w:val="22"/>
        </w:rPr>
        <w:fldChar w:fldCharType="begin"/>
      </w:r>
      <w:r>
        <w:rPr>
          <w:sz w:val="22"/>
          <w:szCs w:val="22"/>
        </w:rPr>
        <w:instrText xml:space="preserve"> REF _Ref125550863 \r \h </w:instrText>
      </w:r>
      <w:r>
        <w:rPr>
          <w:sz w:val="22"/>
          <w:szCs w:val="22"/>
        </w:rPr>
        <w:fldChar w:fldCharType="separate"/>
      </w:r>
      <w:r>
        <w:rPr>
          <w:sz w:val="22"/>
          <w:szCs w:val="22"/>
        </w:rPr>
        <w:t>4.19</w:t>
      </w:r>
      <w:r>
        <w:rPr>
          <w:sz w:val="22"/>
          <w:szCs w:val="22"/>
        </w:rPr>
        <w:fldChar w:fldCharType="end"/>
      </w:r>
      <w:r>
        <w:rPr>
          <w:sz w:val="22"/>
          <w:szCs w:val="22"/>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27"/>
        <w:rPr>
          <w:rFonts w:ascii="Times New Roman" w:hAnsi="Times New Roman"/>
          <w:sz w:val="22"/>
          <w:szCs w:val="22"/>
        </w:rPr>
      </w:pPr>
      <w:r>
        <w:rPr>
          <w:sz w:val="22"/>
          <w:szCs w:val="22"/>
        </w:rPr>
        <w:t>Подать заявку (принять участие в закупке) могут только Участники, предоставившие надлежащее обеспечение их заявок.</w:t>
      </w:r>
    </w:p>
    <w:p>
      <w:pPr>
        <w:pStyle w:val="Style27"/>
        <w:rPr>
          <w:rFonts w:ascii="Times New Roman" w:hAnsi="Times New Roman"/>
          <w:sz w:val="22"/>
          <w:szCs w:val="22"/>
        </w:rPr>
      </w:pPr>
      <w:r>
        <w:rPr>
          <w:sz w:val="22"/>
          <w:szCs w:val="22"/>
        </w:rPr>
        <w:t>Требование об обеспечении заявки в равной мере распространяется на всех Участников.</w:t>
      </w:r>
    </w:p>
    <w:p>
      <w:pPr>
        <w:pStyle w:val="Style27"/>
        <w:keepNext w:val="true"/>
        <w:rPr>
          <w:rFonts w:ascii="Times New Roman" w:hAnsi="Times New Roman"/>
          <w:sz w:val="22"/>
          <w:szCs w:val="22"/>
        </w:rPr>
      </w:pPr>
      <w:bookmarkStart w:id="208" w:name="_Ref228966528"/>
      <w:r>
        <w:rPr>
          <w:sz w:val="22"/>
          <w:szCs w:val="22"/>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8"/>
    </w:p>
    <w:p>
      <w:pPr>
        <w:pStyle w:val="Style28"/>
        <w:rPr/>
      </w:pPr>
      <w:r>
        <w:rPr>
          <w:sz w:val="22"/>
          <w:szCs w:val="22"/>
        </w:rPr>
        <w:t>обязательство заключить Договор в установленном Документацией о закупке порядке (раздел </w:t>
      </w:r>
      <w:r>
        <w:rPr>
          <w:sz w:val="22"/>
          <w:szCs w:val="22"/>
        </w:rPr>
        <w:fldChar w:fldCharType="begin"/>
      </w:r>
      <w:r>
        <w:rPr>
          <w:sz w:val="22"/>
          <w:szCs w:val="22"/>
        </w:rPr>
        <w:instrText xml:space="preserve"> REF _Ref130224037 \r \h </w:instrText>
      </w:r>
      <w:r>
        <w:rPr>
          <w:sz w:val="22"/>
          <w:szCs w:val="22"/>
        </w:rPr>
        <w:fldChar w:fldCharType="separate"/>
      </w:r>
      <w:r>
        <w:rPr>
          <w:sz w:val="22"/>
          <w:szCs w:val="22"/>
        </w:rPr>
        <w:t>5</w:t>
      </w:r>
      <w:r>
        <w:rPr>
          <w:sz w:val="22"/>
          <w:szCs w:val="22"/>
        </w:rPr>
        <w:fldChar w:fldCharType="end"/>
      </w:r>
      <w:r>
        <w:rPr>
          <w:sz w:val="22"/>
          <w:szCs w:val="22"/>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4"/>
            <w:sz w:val="22"/>
            <w:szCs w:val="22"/>
          </w:rPr>
          <w:t>Приложение № 5</w:t>
        </w:r>
      </w:hyperlink>
      <w:r>
        <w:rPr>
          <w:sz w:val="22"/>
          <w:szCs w:val="22"/>
        </w:rPr>
        <w:t>), а также предоставить иные документы в соответствии с условиями подраздела </w:t>
      </w:r>
      <w:r>
        <w:rPr>
          <w:sz w:val="22"/>
          <w:szCs w:val="22"/>
        </w:rPr>
        <w:fldChar w:fldCharType="begin"/>
      </w:r>
      <w:r>
        <w:rPr>
          <w:sz w:val="22"/>
          <w:szCs w:val="22"/>
        </w:rPr>
        <w:instrText xml:space="preserve"> REF _Ref138232981 \r \h </w:instrText>
      </w:r>
      <w:r>
        <w:rPr>
          <w:sz w:val="22"/>
          <w:szCs w:val="22"/>
        </w:rPr>
        <w:fldChar w:fldCharType="separate"/>
      </w:r>
      <w:r>
        <w:rPr>
          <w:sz w:val="22"/>
          <w:szCs w:val="22"/>
        </w:rPr>
        <w:t>5.2</w:t>
      </w:r>
      <w:r>
        <w:rPr>
          <w:sz w:val="22"/>
          <w:szCs w:val="22"/>
        </w:rPr>
        <w:fldChar w:fldCharType="end"/>
      </w:r>
      <w:r>
        <w:rPr>
          <w:sz w:val="22"/>
          <w:szCs w:val="22"/>
        </w:rPr>
        <w:t>;</w:t>
      </w:r>
    </w:p>
    <w:p>
      <w:pPr>
        <w:pStyle w:val="Style28"/>
        <w:rPr/>
      </w:pPr>
      <w:r>
        <w:rPr>
          <w:sz w:val="22"/>
          <w:szCs w:val="22"/>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4"/>
            <w:sz w:val="22"/>
            <w:szCs w:val="22"/>
          </w:rPr>
          <w:t>Проект договора (Приложение № 2)</w:t>
        </w:r>
      </w:hyperlink>
      <w:r>
        <w:rPr>
          <w:sz w:val="22"/>
          <w:szCs w:val="22"/>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4"/>
            <w:sz w:val="22"/>
            <w:szCs w:val="22"/>
          </w:rPr>
          <w:t>Проектом договора</w:t>
        </w:r>
      </w:hyperlink>
      <w:r>
        <w:rPr>
          <w:sz w:val="22"/>
          <w:szCs w:val="22"/>
        </w:rPr>
        <w:t>).</w:t>
      </w:r>
    </w:p>
    <w:p>
      <w:pPr>
        <w:pStyle w:val="Style27"/>
        <w:rPr>
          <w:rFonts w:ascii="Times New Roman" w:hAnsi="Times New Roman"/>
          <w:sz w:val="22"/>
          <w:szCs w:val="22"/>
        </w:rPr>
      </w:pPr>
      <w:r>
        <w:rPr>
          <w:sz w:val="22"/>
          <w:szCs w:val="22"/>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27"/>
        <w:keepNext w:val="true"/>
        <w:rPr>
          <w:rFonts w:ascii="Times New Roman" w:hAnsi="Times New Roman"/>
          <w:sz w:val="22"/>
          <w:szCs w:val="22"/>
        </w:rPr>
      </w:pPr>
      <w:r>
        <w:rPr>
          <w:sz w:val="22"/>
          <w:szCs w:val="22"/>
        </w:rPr>
        <w:t>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p>
    <w:p>
      <w:pPr>
        <w:pStyle w:val="Style28"/>
        <w:rPr>
          <w:rFonts w:ascii="Times New Roman" w:hAnsi="Times New Roman"/>
          <w:sz w:val="22"/>
          <w:szCs w:val="22"/>
        </w:rPr>
      </w:pPr>
      <w:r>
        <w:rPr>
          <w:sz w:val="22"/>
          <w:szCs w:val="22"/>
        </w:rPr>
        <w:t>принятия решения об отказе от проведения закупки – всем Участникам, подавшим заявки к моменту принятия такого решения;</w:t>
      </w:r>
    </w:p>
    <w:p>
      <w:pPr>
        <w:pStyle w:val="Style28"/>
        <w:rPr>
          <w:rFonts w:ascii="Times New Roman" w:hAnsi="Times New Roman"/>
          <w:sz w:val="22"/>
          <w:szCs w:val="22"/>
        </w:rPr>
      </w:pPr>
      <w:r>
        <w:rPr>
          <w:sz w:val="22"/>
          <w:szCs w:val="22"/>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8"/>
        <w:rPr>
          <w:rFonts w:ascii="Times New Roman" w:hAnsi="Times New Roman"/>
          <w:sz w:val="22"/>
          <w:szCs w:val="22"/>
        </w:rPr>
      </w:pPr>
      <w:r>
        <w:rPr>
          <w:sz w:val="22"/>
          <w:szCs w:val="22"/>
        </w:rPr>
        <w:t>официального размещения протокола рассмотрения заявок (при условии его оформления) – Участникам, чьи заявки были отклонены;</w:t>
      </w:r>
    </w:p>
    <w:p>
      <w:pPr>
        <w:pStyle w:val="Style28"/>
        <w:rPr>
          <w:rFonts w:ascii="Times New Roman" w:hAnsi="Times New Roman"/>
          <w:sz w:val="22"/>
          <w:szCs w:val="22"/>
        </w:rPr>
      </w:pPr>
      <w:r>
        <w:rPr>
          <w:sz w:val="22"/>
          <w:szCs w:val="22"/>
        </w:rPr>
        <w:t>официального размещения итогового протокола по результатам закупки – всем Участникам, кроме Победителя;</w:t>
      </w:r>
    </w:p>
    <w:p>
      <w:pPr>
        <w:pStyle w:val="Style28"/>
        <w:rPr>
          <w:rFonts w:ascii="Times New Roman" w:hAnsi="Times New Roman"/>
          <w:sz w:val="22"/>
          <w:szCs w:val="22"/>
        </w:rPr>
      </w:pPr>
      <w:r>
        <w:rPr>
          <w:sz w:val="22"/>
          <w:szCs w:val="22"/>
        </w:rPr>
        <w:t>заключения Договора по результатам закупки – Победителю, с которым заключен Договор;</w:t>
      </w:r>
    </w:p>
    <w:p>
      <w:pPr>
        <w:pStyle w:val="Style28"/>
        <w:rPr>
          <w:rFonts w:ascii="Times New Roman" w:hAnsi="Times New Roman"/>
          <w:sz w:val="22"/>
          <w:szCs w:val="22"/>
        </w:rPr>
      </w:pPr>
      <w:r>
        <w:rPr>
          <w:sz w:val="22"/>
          <w:szCs w:val="22"/>
        </w:rPr>
        <w:t>признания закупки несостоявшейся – Участнику, которому обеспечение не было возвращено по иным основаниям.</w:t>
      </w:r>
    </w:p>
    <w:p>
      <w:pPr>
        <w:pStyle w:val="Style27"/>
        <w:rPr>
          <w:rFonts w:ascii="Times New Roman" w:hAnsi="Times New Roman"/>
          <w:sz w:val="22"/>
          <w:szCs w:val="22"/>
        </w:rPr>
      </w:pPr>
      <w:r>
        <w:rPr>
          <w:sz w:val="22"/>
          <w:szCs w:val="22"/>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sz w:val="22"/>
          <w:szCs w:val="22"/>
        </w:rPr>
        <w:fldChar w:fldCharType="begin"/>
      </w:r>
      <w:r>
        <w:rPr>
          <w:sz w:val="22"/>
          <w:szCs w:val="22"/>
        </w:rPr>
        <w:instrText xml:space="preserve"> REF _Ref125363536 \r \h </w:instrText>
      </w:r>
      <w:r>
        <w:rPr>
          <w:sz w:val="22"/>
          <w:szCs w:val="22"/>
        </w:rPr>
        <w:fldChar w:fldCharType="separate"/>
      </w:r>
      <w:r>
        <w:rPr>
          <w:sz w:val="22"/>
          <w:szCs w:val="22"/>
        </w:rPr>
        <w:t>2.3</w:t>
      </w:r>
      <w:r>
        <w:rPr>
          <w:sz w:val="22"/>
          <w:szCs w:val="22"/>
        </w:rPr>
        <w:fldChar w:fldCharType="end"/>
      </w:r>
      <w:r>
        <w:rPr>
          <w:sz w:val="22"/>
          <w:szCs w:val="22"/>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26"/>
        <w:rPr>
          <w:rFonts w:ascii="Times New Roman" w:hAnsi="Times New Roman"/>
          <w:sz w:val="22"/>
          <w:szCs w:val="22"/>
        </w:rPr>
      </w:pPr>
      <w:bookmarkStart w:id="209" w:name="_Ref149317278"/>
      <w:bookmarkStart w:id="210" w:name="_Toc230928859"/>
      <w:bookmarkStart w:id="211" w:name="_Ref130225422"/>
      <w:r>
        <w:rPr>
          <w:sz w:val="22"/>
          <w:szCs w:val="22"/>
        </w:rPr>
        <w:t>Особенности проведения многолотовой закупки</w:t>
      </w:r>
      <w:bookmarkEnd w:id="209"/>
      <w:bookmarkEnd w:id="210"/>
      <w:bookmarkEnd w:id="211"/>
    </w:p>
    <w:p>
      <w:pPr>
        <w:pStyle w:val="Style27"/>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предусмотрено проведение многолотовой закупки.</w:t>
      </w:r>
    </w:p>
    <w:p>
      <w:pPr>
        <w:pStyle w:val="Style27"/>
        <w:rPr>
          <w:rFonts w:ascii="Times New Roman" w:hAnsi="Times New Roman"/>
          <w:sz w:val="22"/>
          <w:szCs w:val="22"/>
        </w:rPr>
      </w:pPr>
      <w:r>
        <w:rPr>
          <w:sz w:val="22"/>
          <w:szCs w:val="22"/>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rFonts w:ascii="Times New Roman" w:hAnsi="Times New Roman"/>
          <w:sz w:val="22"/>
          <w:szCs w:val="22"/>
        </w:rPr>
      </w:pPr>
      <w:r>
        <w:rPr>
          <w:sz w:val="22"/>
          <w:szCs w:val="22"/>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sz w:val="22"/>
          <w:szCs w:val="22"/>
          <w:lang w:val="en-US"/>
        </w:rPr>
        <w:t> </w:t>
      </w:r>
      <w:r>
        <w:rPr>
          <w:sz w:val="22"/>
          <w:szCs w:val="22"/>
        </w:rPr>
        <w:t>указан номер конкретного лота, относятся ко всем лотам одновременно.</w:t>
      </w:r>
    </w:p>
    <w:p>
      <w:pPr>
        <w:pStyle w:val="Style27"/>
        <w:rPr>
          <w:rFonts w:ascii="Times New Roman" w:hAnsi="Times New Roman"/>
          <w:sz w:val="22"/>
          <w:szCs w:val="22"/>
        </w:rPr>
      </w:pPr>
      <w:r>
        <w:rPr>
          <w:sz w:val="22"/>
          <w:szCs w:val="22"/>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7"/>
        <w:keepNext w:val="true"/>
        <w:rPr>
          <w:rFonts w:ascii="Times New Roman" w:hAnsi="Times New Roman"/>
          <w:sz w:val="22"/>
          <w:szCs w:val="22"/>
        </w:rPr>
      </w:pPr>
      <w:r>
        <w:rPr>
          <w:sz w:val="22"/>
          <w:szCs w:val="22"/>
        </w:rPr>
        <w:t>В случае подачи заявки на несколько лотов дополнительно должны быть соблюдены следующие требования:</w:t>
      </w:r>
    </w:p>
    <w:p>
      <w:pPr>
        <w:pStyle w:val="Style28"/>
        <w:rPr/>
      </w:pPr>
      <w:r>
        <w:rPr>
          <w:sz w:val="22"/>
          <w:szCs w:val="22"/>
        </w:rPr>
        <w:t>Письмо о подаче оферты (форма 2) (</w:t>
      </w:r>
      <w:hyperlink w:anchor="Прил04_ФормыЗаявки">
        <w:r>
          <w:rPr>
            <w:rStyle w:val="Style14"/>
            <w:sz w:val="22"/>
            <w:szCs w:val="22"/>
          </w:rPr>
          <w:t>Приложение № 4</w:t>
        </w:r>
      </w:hyperlink>
      <w:r>
        <w:rPr>
          <w:sz w:val="22"/>
          <w:szCs w:val="22"/>
        </w:rPr>
        <w:t>) должно содержать указание номера и названия каждого лота, по каждому лоту должна быть указана его стоимость;</w:t>
      </w:r>
    </w:p>
    <w:p>
      <w:pPr>
        <w:pStyle w:val="Style28"/>
        <w:rPr/>
      </w:pPr>
      <w:r>
        <w:rPr>
          <w:sz w:val="22"/>
          <w:szCs w:val="22"/>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r>
          <w:rPr>
            <w:rStyle w:val="Style14"/>
            <w:sz w:val="22"/>
            <w:szCs w:val="22"/>
          </w:rPr>
          <w:t>Приложение № 4</w:t>
        </w:r>
      </w:hyperlink>
      <w:r>
        <w:rPr>
          <w:sz w:val="22"/>
          <w:szCs w:val="22"/>
        </w:rPr>
        <w:t>, должны быть подготовлены отдельно по каждому из лотов с указанием номера и названия лота.</w:t>
      </w:r>
    </w:p>
    <w:p>
      <w:pPr>
        <w:pStyle w:val="Style27"/>
        <w:rPr>
          <w:rFonts w:ascii="Times New Roman" w:hAnsi="Times New Roman"/>
          <w:sz w:val="22"/>
          <w:szCs w:val="22"/>
        </w:rPr>
      </w:pPr>
      <w:r>
        <w:rPr>
          <w:sz w:val="22"/>
          <w:szCs w:val="22"/>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6"/>
        <w:rPr>
          <w:rFonts w:ascii="Times New Roman" w:hAnsi="Times New Roman"/>
          <w:sz w:val="22"/>
          <w:szCs w:val="22"/>
        </w:rPr>
      </w:pPr>
      <w:bookmarkStart w:id="212" w:name="_Ref125550863"/>
      <w:bookmarkStart w:id="213" w:name="_Toc230928860"/>
      <w:r>
        <w:rPr>
          <w:sz w:val="22"/>
          <w:szCs w:val="22"/>
        </w:rPr>
        <w:t>Особенности проведения закупки с возможностью подачи альтернативных предложений</w:t>
      </w:r>
      <w:bookmarkEnd w:id="212"/>
      <w:bookmarkEnd w:id="213"/>
    </w:p>
    <w:p>
      <w:pPr>
        <w:pStyle w:val="Style27"/>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предусмотрена возможность подачи альтернативных предложений.</w:t>
      </w:r>
    </w:p>
    <w:p>
      <w:pPr>
        <w:pStyle w:val="Style27"/>
        <w:rPr>
          <w:rFonts w:ascii="Times New Roman" w:hAnsi="Times New Roman"/>
          <w:sz w:val="22"/>
          <w:szCs w:val="22"/>
        </w:rPr>
      </w:pPr>
      <w:r>
        <w:rPr>
          <w:sz w:val="22"/>
          <w:szCs w:val="22"/>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rFonts w:ascii="Times New Roman" w:hAnsi="Times New Roman"/>
          <w:sz w:val="22"/>
          <w:szCs w:val="22"/>
        </w:rPr>
      </w:pPr>
      <w:r>
        <w:rPr>
          <w:sz w:val="22"/>
          <w:szCs w:val="22"/>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27"/>
        <w:rPr>
          <w:rFonts w:ascii="Times New Roman" w:hAnsi="Times New Roman"/>
          <w:sz w:val="22"/>
          <w:szCs w:val="22"/>
        </w:rPr>
      </w:pPr>
      <w:r>
        <w:rPr>
          <w:sz w:val="22"/>
          <w:szCs w:val="22"/>
        </w:rPr>
        <w:t>Альтернативные предложения могут сопровождаться альтернативными ценами (не превышающими НМЦ, установленную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При этом альтернативные предложения, по сути отличающиеся от основного только ценой, рассматриваться не будут.</w:t>
      </w:r>
    </w:p>
    <w:p>
      <w:pPr>
        <w:pStyle w:val="Style27"/>
        <w:rPr/>
      </w:pPr>
      <w:r>
        <w:rPr>
          <w:sz w:val="22"/>
          <w:szCs w:val="22"/>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r>
          <w:rPr>
            <w:rStyle w:val="Style14"/>
            <w:sz w:val="22"/>
            <w:szCs w:val="22"/>
          </w:rPr>
          <w:t>Приложение № 4</w:t>
        </w:r>
      </w:hyperlink>
      <w:r>
        <w:rPr>
          <w:sz w:val="22"/>
          <w:szCs w:val="22"/>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27"/>
        <w:rPr>
          <w:rFonts w:ascii="Times New Roman" w:hAnsi="Times New Roman"/>
          <w:sz w:val="22"/>
          <w:szCs w:val="22"/>
        </w:rPr>
      </w:pPr>
      <w:r>
        <w:rPr>
          <w:sz w:val="22"/>
          <w:szCs w:val="22"/>
        </w:rPr>
        <w:t>При проведении переторжки (подраздел </w:t>
      </w:r>
      <w:r>
        <w:rPr>
          <w:sz w:val="22"/>
          <w:szCs w:val="22"/>
        </w:rPr>
        <w:fldChar w:fldCharType="begin"/>
      </w:r>
      <w:r>
        <w:rPr>
          <w:sz w:val="22"/>
          <w:szCs w:val="22"/>
        </w:rPr>
        <w:instrText xml:space="preserve"> REF _Ref127536359 \r \h </w:instrText>
      </w:r>
      <w:r>
        <w:rPr>
          <w:sz w:val="22"/>
          <w:szCs w:val="22"/>
        </w:rPr>
        <w:fldChar w:fldCharType="separate"/>
      </w:r>
      <w:r>
        <w:rPr>
          <w:sz w:val="22"/>
          <w:szCs w:val="22"/>
        </w:rPr>
        <w:t>4.11</w:t>
      </w:r>
      <w:r>
        <w:rPr>
          <w:sz w:val="22"/>
          <w:szCs w:val="22"/>
        </w:rPr>
        <w:fldChar w:fldCharType="end"/>
      </w:r>
      <w:r>
        <w:rPr>
          <w:sz w:val="22"/>
          <w:szCs w:val="22"/>
        </w:rPr>
        <w:t>) альтернативные предложения Участников допускаются к ней наравне с основными предложениями.</w:t>
      </w:r>
    </w:p>
    <w:p>
      <w:pPr>
        <w:pStyle w:val="Style27"/>
        <w:rPr>
          <w:rFonts w:ascii="Times New Roman" w:hAnsi="Times New Roman"/>
          <w:sz w:val="22"/>
          <w:szCs w:val="22"/>
        </w:rPr>
      </w:pPr>
      <w:r>
        <w:rPr>
          <w:sz w:val="22"/>
          <w:szCs w:val="22"/>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25"/>
        <w:rPr>
          <w:rFonts w:ascii="Times New Roman" w:hAnsi="Times New Roman"/>
          <w:sz w:val="22"/>
          <w:szCs w:val="22"/>
        </w:rPr>
      </w:pPr>
      <w:bookmarkStart w:id="214" w:name="_Ref126142429"/>
      <w:bookmarkStart w:id="215" w:name="_Ref130224037"/>
      <w:bookmarkStart w:id="216" w:name="_Toc230928861"/>
      <w:bookmarkStart w:id="217" w:name="_Ref125361212"/>
      <w:bookmarkStart w:id="218" w:name="_Ref125362671"/>
      <w:bookmarkStart w:id="219" w:name="_Ref125363439"/>
      <w:bookmarkStart w:id="220" w:name="_Ref125366769"/>
      <w:bookmarkStart w:id="221" w:name="_Ref125367083"/>
      <w:bookmarkStart w:id="222" w:name="_Ref125367087"/>
      <w:r>
        <w:rPr>
          <w:sz w:val="22"/>
          <w:szCs w:val="22"/>
        </w:rPr>
        <w:t>Порядок заключения Договора</w:t>
      </w:r>
      <w:bookmarkEnd w:id="214"/>
      <w:bookmarkEnd w:id="215"/>
      <w:bookmarkEnd w:id="216"/>
      <w:bookmarkEnd w:id="217"/>
      <w:bookmarkEnd w:id="218"/>
      <w:bookmarkEnd w:id="219"/>
      <w:bookmarkEnd w:id="220"/>
      <w:bookmarkEnd w:id="221"/>
      <w:bookmarkEnd w:id="222"/>
    </w:p>
    <w:p>
      <w:pPr>
        <w:pStyle w:val="Style26"/>
        <w:rPr>
          <w:rFonts w:ascii="Times New Roman" w:hAnsi="Times New Roman"/>
          <w:sz w:val="22"/>
          <w:szCs w:val="22"/>
        </w:rPr>
      </w:pPr>
      <w:bookmarkStart w:id="223" w:name="_Ref139028625"/>
      <w:bookmarkStart w:id="224" w:name="_Toc230928862"/>
      <w:r>
        <w:rPr>
          <w:sz w:val="22"/>
          <w:szCs w:val="22"/>
        </w:rPr>
        <w:t>Общие положения</w:t>
      </w:r>
      <w:bookmarkEnd w:id="223"/>
      <w:bookmarkEnd w:id="224"/>
    </w:p>
    <w:p>
      <w:pPr>
        <w:pStyle w:val="Style27"/>
        <w:rPr>
          <w:rFonts w:ascii="Times New Roman" w:hAnsi="Times New Roman"/>
          <w:sz w:val="22"/>
          <w:szCs w:val="22"/>
        </w:rPr>
      </w:pPr>
      <w:r>
        <w:rPr>
          <w:sz w:val="22"/>
          <w:szCs w:val="22"/>
        </w:rPr>
        <w:t>Нормы настоящего раздела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6"/>
        <w:rPr>
          <w:rFonts w:ascii="Times New Roman" w:hAnsi="Times New Roman"/>
          <w:sz w:val="22"/>
          <w:szCs w:val="22"/>
        </w:rPr>
      </w:pPr>
      <w:bookmarkStart w:id="225" w:name="_Ref138232981"/>
      <w:bookmarkStart w:id="226" w:name="_Toc230928863"/>
      <w:bookmarkStart w:id="227" w:name="_Ref125366947"/>
      <w:bookmarkStart w:id="228" w:name="_Ref125368755"/>
      <w:bookmarkStart w:id="229" w:name="_Ref135736094"/>
      <w:r>
        <w:rPr>
          <w:sz w:val="22"/>
          <w:szCs w:val="22"/>
        </w:rPr>
        <w:t>Заключение Договора</w:t>
      </w:r>
      <w:bookmarkEnd w:id="225"/>
      <w:bookmarkEnd w:id="226"/>
      <w:bookmarkEnd w:id="227"/>
      <w:bookmarkEnd w:id="228"/>
      <w:bookmarkEnd w:id="229"/>
    </w:p>
    <w:p>
      <w:pPr>
        <w:pStyle w:val="Style27"/>
        <w:rPr>
          <w:rFonts w:ascii="Times New Roman" w:hAnsi="Times New Roman"/>
          <w:sz w:val="22"/>
          <w:szCs w:val="22"/>
        </w:rPr>
      </w:pPr>
      <w:bookmarkStart w:id="230" w:name="_Ref125362935"/>
      <w:bookmarkStart w:id="231" w:name="_Ref130293821"/>
      <w:r>
        <w:rPr>
          <w:sz w:val="22"/>
          <w:szCs w:val="22"/>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30"/>
      <w:bookmarkEnd w:id="231"/>
    </w:p>
    <w:p>
      <w:pPr>
        <w:pStyle w:val="Style27"/>
        <w:rPr>
          <w:rFonts w:ascii="Times New Roman" w:hAnsi="Times New Roman"/>
          <w:sz w:val="22"/>
          <w:szCs w:val="22"/>
        </w:rPr>
      </w:pPr>
      <w:r>
        <w:rPr>
          <w:sz w:val="22"/>
          <w:szCs w:val="22"/>
        </w:rPr>
        <w:t>Договор не может быть заключен, если это запрещено законодательством о национальном режиме .</w:t>
      </w:r>
    </w:p>
    <w:p>
      <w:pPr>
        <w:pStyle w:val="Style27"/>
        <w:rPr>
          <w:rFonts w:ascii="Times New Roman" w:hAnsi="Times New Roman"/>
          <w:sz w:val="22"/>
          <w:szCs w:val="22"/>
        </w:rPr>
      </w:pPr>
      <w:r>
        <w:rPr>
          <w:sz w:val="22"/>
          <w:szCs w:val="22"/>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7"/>
        <w:rPr/>
      </w:pPr>
      <w:bookmarkStart w:id="232" w:name="_Ref125363464"/>
      <w:r>
        <w:rPr>
          <w:sz w:val="22"/>
          <w:szCs w:val="22"/>
        </w:rPr>
        <w:t xml:space="preserve">В целях </w:t>
      </w:r>
      <w:r>
        <w:rPr>
          <w:rFonts w:eastAsia="Calibri" w:cs="Times New Roman"/>
          <w:sz w:val="22"/>
          <w:szCs w:val="22"/>
        </w:rPr>
        <w:t>обеспечения дополнительной прозрачности финансово-хозяйственной деятельности сторон при</w:t>
      </w:r>
      <w:r>
        <w:rPr>
          <w:sz w:val="22"/>
          <w:szCs w:val="22"/>
        </w:rPr>
        <w:t xml:space="preserve"> заключения Договора </w:t>
      </w:r>
      <w:r>
        <w:rPr>
          <w:rFonts w:eastAsia="Calibri" w:cs="Times New Roman"/>
          <w:sz w:val="22"/>
          <w:szCs w:val="22"/>
        </w:rPr>
        <w:t>в части отсутствия возможного конфликта интересов между Заказчиком и</w:t>
      </w:r>
      <w:r>
        <w:rPr>
          <w:sz w:val="22"/>
          <w:szCs w:val="22"/>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4"/>
            <w:sz w:val="22"/>
            <w:szCs w:val="22"/>
          </w:rPr>
          <w:t>Приложением № 5</w:t>
        </w:r>
      </w:hyperlink>
      <w:r>
        <w:rPr>
          <w:sz w:val="22"/>
          <w:szCs w:val="22"/>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numPr>
          <w:ilvl w:val="0"/>
          <w:numId w:val="18"/>
        </w:numPr>
        <w:ind w:hanging="567" w:left="1701"/>
        <w:rPr>
          <w:rFonts w:ascii="Times New Roman" w:hAnsi="Times New Roman"/>
          <w:sz w:val="22"/>
          <w:szCs w:val="22"/>
        </w:rPr>
      </w:pPr>
      <w:r>
        <w:rPr>
          <w:sz w:val="22"/>
          <w:szCs w:val="22"/>
        </w:rPr>
        <w:t>в бумажной форме: по адресу, определенному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numPr>
          <w:ilvl w:val="0"/>
          <w:numId w:val="18"/>
        </w:numPr>
        <w:ind w:hanging="567" w:left="1701"/>
        <w:rPr/>
      </w:pPr>
      <w:r>
        <w:rPr>
          <w:sz w:val="22"/>
          <w:szCs w:val="22"/>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sz w:val="22"/>
          <w:szCs w:val="22"/>
        </w:rPr>
        <w:t>в «Личном кабинете контрагента»</w:t>
      </w:r>
      <w:r>
        <w:rPr>
          <w:sz w:val="22"/>
          <w:szCs w:val="22"/>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sz w:val="22"/>
          <w:szCs w:val="22"/>
        </w:rPr>
        <w:t>цепочке собственников, включая бенефициаров (в том числе конечных)</w:t>
      </w:r>
      <w:r>
        <w:rPr>
          <w:sz w:val="22"/>
          <w:szCs w:val="22"/>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4"/>
            <w:sz w:val="22"/>
            <w:szCs w:val="22"/>
          </w:rPr>
          <w:t>Приложения № 4</w:t>
        </w:r>
      </w:hyperlink>
      <w:r>
        <w:rPr>
          <w:sz w:val="22"/>
          <w:szCs w:val="22"/>
        </w:rPr>
        <w:t>)) адрес электронной почты ответственного лица).</w:t>
      </w:r>
      <w:bookmarkEnd w:id="232"/>
    </w:p>
    <w:p>
      <w:pPr>
        <w:pStyle w:val="Style27"/>
        <w:keepNext w:val="true"/>
        <w:rPr>
          <w:rFonts w:ascii="Times New Roman" w:hAnsi="Times New Roman"/>
          <w:sz w:val="22"/>
          <w:szCs w:val="22"/>
        </w:rPr>
      </w:pPr>
      <w:bookmarkStart w:id="233" w:name="_Ref125551776"/>
      <w:r>
        <w:rPr>
          <w:sz w:val="22"/>
          <w:szCs w:val="22"/>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Portable Document Format (*</w:t>
      </w:r>
      <w:r>
        <w:rPr>
          <w:sz w:val="22"/>
          <w:szCs w:val="22"/>
          <w:lang w:val="en-US"/>
        </w:rPr>
        <w:t>pdf</w:t>
      </w:r>
      <w:r>
        <w:rPr>
          <w:sz w:val="22"/>
          <w:szCs w:val="22"/>
        </w:rPr>
        <w:t>)):</w:t>
      </w:r>
      <w:bookmarkEnd w:id="233"/>
    </w:p>
    <w:p>
      <w:pPr>
        <w:pStyle w:val="Style28"/>
        <w:rPr/>
      </w:pPr>
      <w:r>
        <w:rPr>
          <w:sz w:val="22"/>
          <w:szCs w:val="22"/>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sz w:val="22"/>
            <w:szCs w:val="22"/>
          </w:rPr>
          <w:t>Приложением № 5</w:t>
        </w:r>
      </w:hyperlink>
      <w:r>
        <w:rPr>
          <w:sz w:val="22"/>
          <w:szCs w:val="22"/>
        </w:rPr>
        <w:t>;</w:t>
      </w:r>
    </w:p>
    <w:p>
      <w:pPr>
        <w:pStyle w:val="Style28"/>
        <w:rPr>
          <w:rFonts w:ascii="Times New Roman" w:hAnsi="Times New Roman"/>
          <w:sz w:val="22"/>
          <w:szCs w:val="22"/>
        </w:rPr>
      </w:pPr>
      <w:bookmarkStart w:id="234" w:name="_Ref125552642"/>
      <w:r>
        <w:rPr>
          <w:sz w:val="22"/>
          <w:szCs w:val="22"/>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sz w:val="22"/>
          <w:szCs w:val="22"/>
        </w:rPr>
        <w:fldChar w:fldCharType="begin"/>
      </w:r>
      <w:r>
        <w:rPr>
          <w:sz w:val="22"/>
          <w:szCs w:val="22"/>
        </w:rPr>
        <w:instrText xml:space="preserve"> REF _Ref127536359 \r \h </w:instrText>
      </w:r>
      <w:r>
        <w:rPr>
          <w:sz w:val="22"/>
          <w:szCs w:val="22"/>
        </w:rPr>
        <w:fldChar w:fldCharType="separate"/>
      </w:r>
      <w:r>
        <w:rPr>
          <w:sz w:val="22"/>
          <w:szCs w:val="22"/>
        </w:rPr>
        <w:t>4.11</w:t>
      </w:r>
      <w:r>
        <w:rPr>
          <w:sz w:val="22"/>
          <w:szCs w:val="22"/>
        </w:rPr>
        <w:fldChar w:fldCharType="end"/>
      </w:r>
      <w:r>
        <w:rPr>
          <w:sz w:val="22"/>
          <w:szCs w:val="22"/>
        </w:rPr>
        <w:t>)</w:t>
      </w:r>
      <w:bookmarkEnd w:id="234"/>
      <w:r>
        <w:rPr>
          <w:sz w:val="22"/>
          <w:szCs w:val="22"/>
        </w:rPr>
        <w:t>;</w:t>
      </w:r>
    </w:p>
    <w:p>
      <w:pPr>
        <w:pStyle w:val="Style27"/>
        <w:keepNext w:val="true"/>
        <w:rPr/>
      </w:pPr>
      <w:bookmarkStart w:id="235" w:name="_Ref125551072"/>
      <w:r>
        <w:rPr>
          <w:sz w:val="22"/>
          <w:szCs w:val="22"/>
        </w:rPr>
        <w:t>Перед заключением Договора Победитель обязан предоставить Заказчику, не позднее сроков, установленных в пункте </w:t>
      </w:r>
      <w:r>
        <w:rPr>
          <w:sz w:val="22"/>
          <w:szCs w:val="22"/>
        </w:rPr>
        <w:fldChar w:fldCharType="begin"/>
      </w:r>
      <w:r>
        <w:rPr>
          <w:sz w:val="22"/>
          <w:szCs w:val="22"/>
        </w:rPr>
        <w:instrText xml:space="preserve"> REF _Ref130293821 \w \h </w:instrText>
      </w:r>
      <w:r>
        <w:rPr>
          <w:sz w:val="22"/>
          <w:szCs w:val="22"/>
        </w:rPr>
        <w:fldChar w:fldCharType="separate"/>
      </w:r>
      <w:r>
        <w:rPr>
          <w:sz w:val="22"/>
          <w:szCs w:val="22"/>
        </w:rPr>
        <w:t>5.2.1</w:t>
      </w:r>
      <w:r>
        <w:rPr>
          <w:sz w:val="22"/>
          <w:szCs w:val="22"/>
        </w:rPr>
        <w:fldChar w:fldCharType="end"/>
      </w:r>
      <w:r>
        <w:rPr>
          <w:sz w:val="22"/>
          <w:szCs w:val="22"/>
        </w:rPr>
        <w:t>, в целях подтверждения своего соответствия обязательному требованию к Участникам, указанному в пункте </w:t>
      </w:r>
      <w:r>
        <w:rPr>
          <w:sz w:val="22"/>
          <w:szCs w:val="22"/>
        </w:rPr>
        <w:fldChar w:fldCharType="begin"/>
      </w:r>
      <w:r>
        <w:rPr>
          <w:sz w:val="22"/>
          <w:szCs w:val="22"/>
        </w:rPr>
        <w:instrText xml:space="preserve"> REF _Ref125552433 \w \h </w:instrText>
      </w:r>
      <w:r>
        <w:rPr>
          <w:sz w:val="22"/>
          <w:szCs w:val="22"/>
        </w:rPr>
        <w:fldChar w:fldCharType="separate"/>
      </w:r>
      <w:r>
        <w:rPr>
          <w:sz w:val="22"/>
          <w:szCs w:val="22"/>
        </w:rPr>
        <w:t>1</w:t>
      </w:r>
      <w:r>
        <w:rPr>
          <w:sz w:val="22"/>
          <w:szCs w:val="22"/>
        </w:rPr>
        <w:fldChar w:fldCharType="end"/>
      </w:r>
      <w:r>
        <w:rPr>
          <w:sz w:val="22"/>
          <w:szCs w:val="22"/>
        </w:rPr>
        <w:t xml:space="preserve"> подраздела </w:t>
      </w:r>
      <w:r>
        <w:rPr>
          <w:sz w:val="22"/>
          <w:szCs w:val="22"/>
        </w:rPr>
        <w:fldChar w:fldCharType="begin"/>
      </w:r>
      <w:r>
        <w:rPr>
          <w:sz w:val="22"/>
          <w:szCs w:val="22"/>
        </w:rPr>
        <w:instrText xml:space="preserve"> REF _Ref125361435 \w \h </w:instrText>
      </w:r>
      <w:r>
        <w:rPr>
          <w:sz w:val="22"/>
          <w:szCs w:val="22"/>
        </w:rPr>
        <w:fldChar w:fldCharType="separate"/>
      </w:r>
      <w:r>
        <w:rPr>
          <w:sz w:val="22"/>
          <w:szCs w:val="22"/>
        </w:rPr>
        <w:t>8.2</w:t>
      </w:r>
      <w:r>
        <w:rPr>
          <w:sz w:val="22"/>
          <w:szCs w:val="22"/>
        </w:rPr>
        <w:fldChar w:fldCharType="end"/>
      </w:r>
      <w:r>
        <w:rPr>
          <w:sz w:val="22"/>
          <w:szCs w:val="22"/>
        </w:rPr>
        <w:t xml:space="preserve"> (</w:t>
      </w:r>
      <w:hyperlink w:anchor="Прил03_ТребованияУчастникам">
        <w:r>
          <w:rPr>
            <w:rStyle w:val="Style14"/>
            <w:sz w:val="22"/>
            <w:szCs w:val="22"/>
          </w:rPr>
          <w:t>Приложение № 3</w:t>
        </w:r>
      </w:hyperlink>
      <w:r>
        <w:rPr>
          <w:sz w:val="22"/>
          <w:szCs w:val="22"/>
        </w:rPr>
        <w:t>), следующие документы (скан-копии в формате Portable Document Format (*</w:t>
      </w:r>
      <w:r>
        <w:rPr>
          <w:sz w:val="22"/>
          <w:szCs w:val="22"/>
          <w:lang w:val="en-US"/>
        </w:rPr>
        <w:t>pdf</w:t>
      </w:r>
      <w:r>
        <w:rPr>
          <w:sz w:val="22"/>
          <w:szCs w:val="22"/>
        </w:rPr>
        <w:t>))</w:t>
      </w:r>
      <w:r>
        <w:rPr>
          <w:rStyle w:val="FootnoteReference"/>
          <w:sz w:val="22"/>
          <w:szCs w:val="22"/>
        </w:rPr>
        <w:footnoteReference w:id="13"/>
      </w:r>
      <w:r>
        <w:rPr>
          <w:sz w:val="22"/>
          <w:szCs w:val="22"/>
        </w:rPr>
        <w:t>:</w:t>
      </w:r>
      <w:bookmarkEnd w:id="235"/>
    </w:p>
    <w:p>
      <w:pPr>
        <w:pStyle w:val="Style28"/>
        <w:keepNext w:val="true"/>
        <w:rPr>
          <w:rFonts w:ascii="Times New Roman" w:hAnsi="Times New Roman"/>
          <w:sz w:val="22"/>
          <w:szCs w:val="22"/>
        </w:rPr>
      </w:pPr>
      <w:r>
        <w:rPr>
          <w:sz w:val="22"/>
          <w:szCs w:val="22"/>
        </w:rPr>
        <w:t>для юридического лица:</w:t>
      </w:r>
    </w:p>
    <w:p>
      <w:pPr>
        <w:pStyle w:val="Style29"/>
        <w:rPr>
          <w:rFonts w:ascii="Times New Roman" w:hAnsi="Times New Roman"/>
          <w:sz w:val="22"/>
          <w:szCs w:val="22"/>
        </w:rPr>
      </w:pPr>
      <w:r>
        <w:rPr>
          <w:sz w:val="22"/>
          <w:szCs w:val="22"/>
        </w:rPr>
        <w:t>копия устава в действующей редакции с отметкой ИФНС либо копия нотариально заверенного устава (с отметкой нотариуса);</w:t>
      </w:r>
    </w:p>
    <w:p>
      <w:pPr>
        <w:pStyle w:val="Style29"/>
        <w:rPr>
          <w:rFonts w:ascii="Times New Roman" w:hAnsi="Times New Roman"/>
          <w:sz w:val="22"/>
          <w:szCs w:val="22"/>
        </w:rPr>
      </w:pPr>
      <w:bookmarkStart w:id="236" w:name="_Ref125638686"/>
      <w:r>
        <w:rPr>
          <w:sz w:val="22"/>
          <w:szCs w:val="22"/>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6"/>
    </w:p>
    <w:p>
      <w:pPr>
        <w:pStyle w:val="Style29"/>
        <w:rPr>
          <w:rFonts w:ascii="Times New Roman" w:hAnsi="Times New Roman"/>
          <w:sz w:val="22"/>
          <w:szCs w:val="22"/>
        </w:rPr>
      </w:pPr>
      <w:r>
        <w:rPr>
          <w:sz w:val="22"/>
          <w:szCs w:val="22"/>
        </w:rPr>
        <w:t>если договор подписывается лицом, действующим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p>
    <w:p>
      <w:pPr>
        <w:pStyle w:val="Style29"/>
        <w:rPr>
          <w:rFonts w:ascii="Times New Roman" w:hAnsi="Times New Roman"/>
          <w:sz w:val="22"/>
          <w:szCs w:val="22"/>
        </w:rPr>
      </w:pPr>
      <w:r>
        <w:rPr>
          <w:sz w:val="22"/>
          <w:szCs w:val="22"/>
        </w:rPr>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p>
    <w:p>
      <w:pPr>
        <w:pStyle w:val="Style28"/>
        <w:rPr>
          <w:rFonts w:ascii="Times New Roman" w:hAnsi="Times New Roman"/>
          <w:sz w:val="22"/>
          <w:szCs w:val="22"/>
        </w:rPr>
      </w:pPr>
      <w:r>
        <w:rPr>
          <w:sz w:val="22"/>
          <w:szCs w:val="22"/>
        </w:rPr>
        <w:t>для лица, зарегистрированного вне Российской Федерации: выписка из торгового реестра страны регистрации иностранного Участника;</w:t>
      </w:r>
    </w:p>
    <w:p>
      <w:pPr>
        <w:pStyle w:val="Style28"/>
        <w:rPr>
          <w:rFonts w:ascii="Times New Roman" w:hAnsi="Times New Roman"/>
          <w:sz w:val="22"/>
          <w:szCs w:val="22"/>
        </w:rPr>
      </w:pPr>
      <w:r>
        <w:rPr>
          <w:sz w:val="22"/>
          <w:szCs w:val="22"/>
        </w:rPr>
        <w:t>для физического лица: нотариально заверенная копия всех страниц документа, удостоверяющего личность (паспорта);</w:t>
      </w:r>
    </w:p>
    <w:p>
      <w:pPr>
        <w:pStyle w:val="Style28"/>
        <w:rPr>
          <w:rFonts w:ascii="Times New Roman" w:hAnsi="Times New Roman"/>
          <w:sz w:val="22"/>
          <w:szCs w:val="22"/>
        </w:rPr>
      </w:pPr>
      <w:bookmarkStart w:id="237" w:name="_Ref125361554"/>
      <w:r>
        <w:rPr>
          <w:sz w:val="22"/>
          <w:szCs w:val="22"/>
        </w:rPr>
        <w:t>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rPr>
          <w:sz w:val="22"/>
          <w:szCs w:val="22"/>
        </w:rPr>
        <w:fldChar w:fldCharType="begin"/>
      </w:r>
      <w:r>
        <w:rPr>
          <w:sz w:val="22"/>
          <w:szCs w:val="22"/>
        </w:rPr>
        <w:instrText xml:space="preserve"> REF _Ref125366972 \r \h </w:instrText>
      </w:r>
      <w:r>
        <w:rPr>
          <w:sz w:val="22"/>
          <w:szCs w:val="22"/>
        </w:rPr>
        <w:fldChar w:fldCharType="separate"/>
      </w:r>
      <w:r>
        <w:rPr>
          <w:sz w:val="22"/>
          <w:szCs w:val="22"/>
        </w:rPr>
        <w:t>3.2.3</w:t>
      </w:r>
      <w:r>
        <w:rPr>
          <w:sz w:val="22"/>
          <w:szCs w:val="22"/>
        </w:rPr>
        <w:fldChar w:fldCharType="end"/>
      </w:r>
      <w:r>
        <w:rPr>
          <w:sz w:val="22"/>
          <w:szCs w:val="22"/>
        </w:rPr>
        <w:t>.</w:t>
      </w:r>
      <w:bookmarkEnd w:id="237"/>
    </w:p>
    <w:p>
      <w:pPr>
        <w:pStyle w:val="Style27"/>
        <w:rPr>
          <w:rFonts w:ascii="Times New Roman" w:hAnsi="Times New Roman"/>
          <w:sz w:val="22"/>
          <w:szCs w:val="22"/>
        </w:rPr>
      </w:pPr>
      <w:r>
        <w:rPr>
          <w:sz w:val="22"/>
          <w:szCs w:val="22"/>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7"/>
        <w:rPr>
          <w:rFonts w:ascii="Times New Roman" w:hAnsi="Times New Roman"/>
          <w:sz w:val="22"/>
          <w:szCs w:val="22"/>
        </w:rPr>
      </w:pPr>
      <w:r>
        <w:rPr>
          <w:sz w:val="22"/>
          <w:szCs w:val="22"/>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7"/>
        <w:keepNext w:val="true"/>
        <w:rPr>
          <w:rFonts w:ascii="Times New Roman" w:hAnsi="Times New Roman"/>
          <w:sz w:val="22"/>
          <w:szCs w:val="22"/>
        </w:rPr>
      </w:pPr>
      <w:bookmarkStart w:id="238" w:name="_Ref132288402"/>
      <w:r>
        <w:rPr>
          <w:sz w:val="22"/>
          <w:szCs w:val="22"/>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8"/>
    </w:p>
    <w:p>
      <w:pPr>
        <w:pStyle w:val="Style28"/>
        <w:rPr>
          <w:rFonts w:ascii="Times New Roman" w:hAnsi="Times New Roman"/>
          <w:sz w:val="22"/>
          <w:szCs w:val="22"/>
        </w:rPr>
      </w:pPr>
      <w:r>
        <w:rPr>
          <w:sz w:val="22"/>
          <w:szCs w:val="22"/>
        </w:rPr>
        <w:t>протокол преддоговорных переговоров между Заказчиком и Победителем (при проведении таковых);</w:t>
      </w:r>
    </w:p>
    <w:p>
      <w:pPr>
        <w:pStyle w:val="Style28"/>
        <w:rPr>
          <w:rFonts w:ascii="Times New Roman" w:hAnsi="Times New Roman"/>
          <w:sz w:val="22"/>
          <w:szCs w:val="22"/>
        </w:rPr>
      </w:pPr>
      <w:r>
        <w:rPr>
          <w:sz w:val="22"/>
          <w:szCs w:val="22"/>
        </w:rPr>
        <w:t>итоговый протокол по результатам закупки;</w:t>
      </w:r>
    </w:p>
    <w:p>
      <w:pPr>
        <w:pStyle w:val="Style28"/>
        <w:rPr>
          <w:rFonts w:ascii="Times New Roman" w:hAnsi="Times New Roman"/>
          <w:sz w:val="22"/>
          <w:szCs w:val="22"/>
        </w:rPr>
      </w:pPr>
      <w:r>
        <w:rPr>
          <w:sz w:val="22"/>
          <w:szCs w:val="22"/>
        </w:rPr>
        <w:t>Извещение и Документация о закупке со всеми изменениями;</w:t>
      </w:r>
    </w:p>
    <w:p>
      <w:pPr>
        <w:pStyle w:val="Style28"/>
        <w:rPr>
          <w:rFonts w:ascii="Times New Roman" w:hAnsi="Times New Roman"/>
          <w:sz w:val="22"/>
          <w:szCs w:val="22"/>
        </w:rPr>
      </w:pPr>
      <w:r>
        <w:rPr>
          <w:sz w:val="22"/>
          <w:szCs w:val="22"/>
        </w:rPr>
        <w:t>заявка Победителя со всеми дополнениями и разъяснениями.</w:t>
      </w:r>
    </w:p>
    <w:p>
      <w:pPr>
        <w:pStyle w:val="Style27"/>
        <w:rPr>
          <w:rFonts w:ascii="Times New Roman" w:hAnsi="Times New Roman"/>
          <w:sz w:val="22"/>
          <w:szCs w:val="22"/>
        </w:rPr>
      </w:pPr>
      <w:bookmarkStart w:id="239" w:name="_Ref125368506"/>
      <w:r>
        <w:rPr>
          <w:sz w:val="22"/>
          <w:szCs w:val="22"/>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39"/>
    </w:p>
    <w:p>
      <w:pPr>
        <w:pStyle w:val="Style27"/>
        <w:keepNext w:val="true"/>
        <w:rPr>
          <w:rFonts w:ascii="Times New Roman" w:hAnsi="Times New Roman"/>
          <w:sz w:val="22"/>
          <w:szCs w:val="22"/>
        </w:rPr>
      </w:pPr>
      <w:bookmarkStart w:id="240" w:name="_Ref125552524"/>
      <w:r>
        <w:rPr>
          <w:sz w:val="22"/>
          <w:szCs w:val="22"/>
        </w:rPr>
        <w:t>Если Договор заключается в электронной форме:</w:t>
      </w:r>
    </w:p>
    <w:p>
      <w:pPr>
        <w:pStyle w:val="Style28"/>
        <w:rPr>
          <w:rFonts w:ascii="Times New Roman" w:hAnsi="Times New Roman"/>
          <w:sz w:val="22"/>
          <w:szCs w:val="22"/>
        </w:rPr>
      </w:pPr>
      <w:bookmarkStart w:id="241" w:name="_Ref164248655"/>
      <w:r>
        <w:rPr>
          <w:sz w:val="22"/>
          <w:szCs w:val="22"/>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bookmarkEnd w:id="240"/>
      <w:bookmarkEnd w:id="241"/>
      <w:r>
        <w:rPr>
          <w:sz w:val="22"/>
          <w:szCs w:val="22"/>
        </w:rPr>
        <w:t>;</w:t>
      </w:r>
    </w:p>
    <w:p>
      <w:pPr>
        <w:pStyle w:val="Style28"/>
        <w:rPr>
          <w:rFonts w:ascii="Times New Roman" w:hAnsi="Times New Roman"/>
          <w:sz w:val="22"/>
          <w:szCs w:val="22"/>
        </w:rPr>
      </w:pPr>
      <w:bookmarkStart w:id="242" w:name="_Ref164248170"/>
      <w:r>
        <w:rPr>
          <w:sz w:val="22"/>
          <w:szCs w:val="22"/>
        </w:rPr>
        <w:t>Заказчик в течение установленного в пункте </w:t>
      </w:r>
      <w:r>
        <w:rPr>
          <w:sz w:val="22"/>
          <w:szCs w:val="22"/>
        </w:rPr>
        <w:fldChar w:fldCharType="begin"/>
      </w:r>
      <w:r>
        <w:rPr>
          <w:sz w:val="22"/>
          <w:szCs w:val="22"/>
        </w:rPr>
        <w:instrText xml:space="preserve"> REF _Ref130293821 \r \h </w:instrText>
      </w:r>
      <w:r>
        <w:rPr>
          <w:sz w:val="22"/>
          <w:szCs w:val="22"/>
        </w:rPr>
        <w:fldChar w:fldCharType="separate"/>
      </w:r>
      <w:r>
        <w:rPr>
          <w:sz w:val="22"/>
          <w:szCs w:val="22"/>
        </w:rPr>
        <w:t>5.2.1</w:t>
      </w:r>
      <w:r>
        <w:rPr>
          <w:sz w:val="22"/>
          <w:szCs w:val="22"/>
        </w:rPr>
        <w:fldChar w:fldCharType="end"/>
      </w:r>
      <w:r>
        <w:rPr>
          <w:sz w:val="22"/>
          <w:szCs w:val="22"/>
        </w:rPr>
        <w:t xml:space="preserve"> срока направляет в адрес Победителя подписанный со своей стороны Проект договора с использованием функционала Системы ЭДО.</w:t>
      </w:r>
      <w:bookmarkEnd w:id="242"/>
    </w:p>
    <w:p>
      <w:pPr>
        <w:pStyle w:val="Style27"/>
        <w:rPr>
          <w:rFonts w:ascii="Times New Roman" w:hAnsi="Times New Roman"/>
          <w:sz w:val="22"/>
          <w:szCs w:val="22"/>
        </w:rPr>
      </w:pPr>
      <w:r>
        <w:rPr>
          <w:sz w:val="22"/>
          <w:szCs w:val="22"/>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6"/>
        <w:rPr>
          <w:rFonts w:ascii="Times New Roman" w:hAnsi="Times New Roman"/>
          <w:sz w:val="22"/>
          <w:szCs w:val="22"/>
        </w:rPr>
      </w:pPr>
      <w:bookmarkStart w:id="243" w:name="_Ref125552570"/>
      <w:bookmarkStart w:id="244" w:name="_Toc230928864"/>
      <w:r>
        <w:rPr>
          <w:sz w:val="22"/>
          <w:szCs w:val="22"/>
        </w:rPr>
        <w:t>Преддоговорные переговоры</w:t>
      </w:r>
      <w:bookmarkEnd w:id="243"/>
      <w:bookmarkEnd w:id="244"/>
    </w:p>
    <w:p>
      <w:pPr>
        <w:pStyle w:val="Style27"/>
        <w:keepNext w:val="true"/>
        <w:rPr>
          <w:rFonts w:ascii="Times New Roman" w:hAnsi="Times New Roman"/>
          <w:sz w:val="22"/>
          <w:szCs w:val="22"/>
        </w:rPr>
      </w:pPr>
      <w:r>
        <w:rPr>
          <w:sz w:val="22"/>
          <w:szCs w:val="22"/>
        </w:rPr>
        <w:t>Проведение преддоговорных переговоров между Заказчиком и Победителем допускается только в отношении следующих вопросов:</w:t>
      </w:r>
    </w:p>
    <w:p>
      <w:pPr>
        <w:pStyle w:val="Style28"/>
        <w:rPr>
          <w:rFonts w:ascii="Times New Roman" w:hAnsi="Times New Roman"/>
          <w:sz w:val="22"/>
          <w:szCs w:val="22"/>
        </w:rPr>
      </w:pPr>
      <w:r>
        <w:rPr>
          <w:sz w:val="22"/>
          <w:szCs w:val="22"/>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28"/>
        <w:rPr>
          <w:rFonts w:ascii="Times New Roman" w:hAnsi="Times New Roman"/>
          <w:sz w:val="22"/>
          <w:szCs w:val="22"/>
        </w:rPr>
      </w:pPr>
      <w:r>
        <w:rPr>
          <w:sz w:val="22"/>
          <w:szCs w:val="22"/>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28"/>
        <w:rPr>
          <w:rFonts w:ascii="Times New Roman" w:hAnsi="Times New Roman"/>
          <w:sz w:val="22"/>
          <w:szCs w:val="22"/>
        </w:rPr>
      </w:pPr>
      <w:r>
        <w:rPr>
          <w:sz w:val="22"/>
          <w:szCs w:val="22"/>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28"/>
        <w:rPr>
          <w:rFonts w:ascii="Times New Roman" w:hAnsi="Times New Roman"/>
          <w:sz w:val="22"/>
          <w:szCs w:val="22"/>
        </w:rPr>
      </w:pPr>
      <w:r>
        <w:rPr>
          <w:sz w:val="22"/>
          <w:szCs w:val="22"/>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28"/>
        <w:rPr>
          <w:rFonts w:ascii="Times New Roman" w:hAnsi="Times New Roman"/>
          <w:sz w:val="22"/>
          <w:szCs w:val="22"/>
        </w:rPr>
      </w:pPr>
      <w:r>
        <w:rPr>
          <w:sz w:val="22"/>
          <w:szCs w:val="22"/>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27"/>
        <w:rPr>
          <w:rFonts w:ascii="Times New Roman" w:hAnsi="Times New Roman"/>
          <w:sz w:val="22"/>
          <w:szCs w:val="22"/>
        </w:rPr>
      </w:pPr>
      <w:r>
        <w:rPr>
          <w:sz w:val="22"/>
          <w:szCs w:val="22"/>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27"/>
        <w:rPr>
          <w:rFonts w:ascii="Times New Roman" w:hAnsi="Times New Roman"/>
          <w:sz w:val="22"/>
          <w:szCs w:val="22"/>
        </w:rPr>
      </w:pPr>
      <w:r>
        <w:rPr>
          <w:sz w:val="22"/>
          <w:szCs w:val="22"/>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27"/>
        <w:rPr>
          <w:rFonts w:ascii="Times New Roman" w:hAnsi="Times New Roman"/>
          <w:sz w:val="22"/>
          <w:szCs w:val="22"/>
        </w:rPr>
      </w:pPr>
      <w:r>
        <w:rPr>
          <w:sz w:val="22"/>
          <w:szCs w:val="22"/>
        </w:rPr>
        <w:t>Результаты преддоговорных переговоров фиксируются в форме протокола</w:t>
      </w:r>
      <w:r>
        <w:rPr>
          <w:rStyle w:val="FootnoteReference"/>
          <w:sz w:val="22"/>
          <w:szCs w:val="22"/>
        </w:rPr>
        <w:footnoteReference w:id="14"/>
      </w:r>
      <w:r>
        <w:rPr>
          <w:sz w:val="22"/>
          <w:szCs w:val="22"/>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27"/>
        <w:rPr>
          <w:rFonts w:ascii="Times New Roman" w:hAnsi="Times New Roman"/>
          <w:sz w:val="22"/>
          <w:szCs w:val="22"/>
        </w:rPr>
      </w:pPr>
      <w:r>
        <w:rPr>
          <w:sz w:val="22"/>
          <w:szCs w:val="22"/>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sz w:val="22"/>
          <w:szCs w:val="22"/>
        </w:rPr>
        <w:fldChar w:fldCharType="begin"/>
      </w:r>
      <w:r>
        <w:rPr>
          <w:sz w:val="22"/>
          <w:szCs w:val="22"/>
        </w:rPr>
        <w:instrText xml:space="preserve"> REF _Ref132288402 \r \h </w:instrText>
      </w:r>
      <w:r>
        <w:rPr>
          <w:sz w:val="22"/>
          <w:szCs w:val="22"/>
        </w:rPr>
        <w:fldChar w:fldCharType="separate"/>
      </w:r>
      <w:r>
        <w:rPr>
          <w:sz w:val="22"/>
          <w:szCs w:val="22"/>
        </w:rPr>
        <w:t>5.2.9</w:t>
      </w:r>
      <w:r>
        <w:rPr>
          <w:sz w:val="22"/>
          <w:szCs w:val="22"/>
        </w:rPr>
        <w:fldChar w:fldCharType="end"/>
      </w:r>
      <w:r>
        <w:rPr>
          <w:sz w:val="22"/>
          <w:szCs w:val="22"/>
        </w:rPr>
        <w:t>.</w:t>
      </w:r>
    </w:p>
    <w:p>
      <w:pPr>
        <w:pStyle w:val="Style26"/>
        <w:rPr>
          <w:rFonts w:ascii="Times New Roman" w:hAnsi="Times New Roman"/>
          <w:sz w:val="22"/>
          <w:szCs w:val="22"/>
        </w:rPr>
      </w:pPr>
      <w:bookmarkStart w:id="245" w:name="_Ref125367068"/>
      <w:bookmarkStart w:id="246" w:name="_Toc230928865"/>
      <w:r>
        <w:rPr>
          <w:sz w:val="22"/>
          <w:szCs w:val="22"/>
        </w:rPr>
        <w:t>Уклонение Победителя от заключения Договора</w:t>
      </w:r>
      <w:bookmarkEnd w:id="245"/>
      <w:bookmarkEnd w:id="246"/>
    </w:p>
    <w:p>
      <w:pPr>
        <w:pStyle w:val="Style27"/>
        <w:keepNext w:val="true"/>
        <w:rPr>
          <w:rFonts w:ascii="Times New Roman" w:hAnsi="Times New Roman"/>
          <w:sz w:val="22"/>
          <w:szCs w:val="22"/>
        </w:rPr>
      </w:pPr>
      <w:r>
        <w:rPr>
          <w:sz w:val="22"/>
          <w:szCs w:val="22"/>
        </w:rPr>
        <w:t>Если Победитель закупки:</w:t>
      </w:r>
    </w:p>
    <w:p>
      <w:pPr>
        <w:pStyle w:val="Style28"/>
        <w:rPr>
          <w:rFonts w:ascii="Times New Roman" w:hAnsi="Times New Roman"/>
          <w:sz w:val="22"/>
          <w:szCs w:val="22"/>
        </w:rPr>
      </w:pPr>
      <w:r>
        <w:rPr>
          <w:sz w:val="22"/>
          <w:szCs w:val="22"/>
        </w:rPr>
        <w:t>не подпишет Договор в установленные Документацией о закупке сроки (пункт </w:t>
      </w:r>
      <w:r>
        <w:rPr>
          <w:sz w:val="22"/>
          <w:szCs w:val="22"/>
        </w:rPr>
        <w:fldChar w:fldCharType="begin"/>
      </w:r>
      <w:r>
        <w:rPr>
          <w:sz w:val="22"/>
          <w:szCs w:val="22"/>
        </w:rPr>
        <w:instrText xml:space="preserve"> REF _Ref130293821 \r \h </w:instrText>
      </w:r>
      <w:r>
        <w:rPr>
          <w:sz w:val="22"/>
          <w:szCs w:val="22"/>
        </w:rPr>
        <w:fldChar w:fldCharType="separate"/>
      </w:r>
      <w:r>
        <w:rPr>
          <w:sz w:val="22"/>
          <w:szCs w:val="22"/>
        </w:rPr>
        <w:t>5.2.1</w:t>
      </w:r>
      <w:r>
        <w:rPr>
          <w:sz w:val="22"/>
          <w:szCs w:val="22"/>
        </w:rPr>
        <w:fldChar w:fldCharType="end"/>
      </w:r>
      <w:r>
        <w:rPr>
          <w:sz w:val="22"/>
          <w:szCs w:val="22"/>
        </w:rPr>
        <w:t>);</w:t>
      </w:r>
    </w:p>
    <w:p>
      <w:pPr>
        <w:pStyle w:val="Style28"/>
        <w:rPr>
          <w:rFonts w:ascii="Times New Roman" w:hAnsi="Times New Roman"/>
          <w:sz w:val="22"/>
          <w:szCs w:val="22"/>
        </w:rPr>
      </w:pPr>
      <w:r>
        <w:rPr>
          <w:sz w:val="22"/>
          <w:szCs w:val="22"/>
        </w:rPr>
        <w:t>откажется от подписания Договора на условиях, определяемых в соответствии с пунктом </w:t>
      </w:r>
      <w:r>
        <w:rPr>
          <w:sz w:val="22"/>
          <w:szCs w:val="22"/>
        </w:rPr>
        <w:fldChar w:fldCharType="begin"/>
      </w:r>
      <w:r>
        <w:rPr>
          <w:sz w:val="22"/>
          <w:szCs w:val="22"/>
        </w:rPr>
        <w:instrText xml:space="preserve"> REF _Ref132288402 \r \h </w:instrText>
      </w:r>
      <w:r>
        <w:rPr>
          <w:sz w:val="22"/>
          <w:szCs w:val="22"/>
        </w:rPr>
        <w:fldChar w:fldCharType="separate"/>
      </w:r>
      <w:r>
        <w:rPr>
          <w:sz w:val="22"/>
          <w:szCs w:val="22"/>
        </w:rPr>
        <w:t>5.2.9</w:t>
      </w:r>
      <w:r>
        <w:rPr>
          <w:sz w:val="22"/>
          <w:szCs w:val="22"/>
        </w:rPr>
        <w:fldChar w:fldCharType="end"/>
      </w:r>
      <w:r>
        <w:rPr>
          <w:sz w:val="22"/>
          <w:szCs w:val="22"/>
        </w:rPr>
        <w:t>;</w:t>
      </w:r>
    </w:p>
    <w:p>
      <w:pPr>
        <w:pStyle w:val="Style28"/>
        <w:rPr/>
      </w:pPr>
      <w:r>
        <w:rPr>
          <w:sz w:val="22"/>
          <w:szCs w:val="22"/>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4"/>
            <w:sz w:val="22"/>
            <w:szCs w:val="22"/>
          </w:rPr>
          <w:t>Приложение № 5</w:t>
        </w:r>
      </w:hyperlink>
      <w:r>
        <w:rPr>
          <w:sz w:val="22"/>
          <w:szCs w:val="22"/>
        </w:rPr>
        <w:t>), с приложением подтверждающих документов;</w:t>
      </w:r>
    </w:p>
    <w:p>
      <w:pPr>
        <w:pStyle w:val="Style28"/>
        <w:rPr/>
      </w:pPr>
      <w:r>
        <w:rPr>
          <w:sz w:val="22"/>
          <w:szCs w:val="22"/>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sz w:val="22"/>
            <w:szCs w:val="22"/>
          </w:rPr>
          <w:t>Приложением № 5</w:t>
        </w:r>
      </w:hyperlink>
      <w:r>
        <w:rPr>
          <w:sz w:val="22"/>
          <w:szCs w:val="22"/>
        </w:rPr>
        <w:t>;</w:t>
      </w:r>
    </w:p>
    <w:p>
      <w:pPr>
        <w:pStyle w:val="Style28"/>
        <w:rPr>
          <w:rFonts w:ascii="Times New Roman" w:hAnsi="Times New Roman"/>
          <w:sz w:val="22"/>
          <w:szCs w:val="22"/>
        </w:rPr>
      </w:pPr>
      <w:r>
        <w:rPr>
          <w:sz w:val="22"/>
          <w:szCs w:val="22"/>
        </w:rPr>
        <w:t>не предоставит в установленный Заказчиком срок документы, указанные в пункте </w:t>
      </w:r>
      <w:r>
        <w:rPr>
          <w:sz w:val="22"/>
          <w:szCs w:val="22"/>
        </w:rPr>
        <w:fldChar w:fldCharType="begin"/>
      </w:r>
      <w:r>
        <w:rPr>
          <w:sz w:val="22"/>
          <w:szCs w:val="22"/>
        </w:rPr>
        <w:instrText xml:space="preserve"> REF _Ref125551776 \r \h </w:instrText>
      </w:r>
      <w:r>
        <w:rPr>
          <w:sz w:val="22"/>
          <w:szCs w:val="22"/>
        </w:rPr>
        <w:fldChar w:fldCharType="separate"/>
      </w:r>
      <w:r>
        <w:rPr>
          <w:sz w:val="22"/>
          <w:szCs w:val="22"/>
        </w:rPr>
        <w:t>5.2.5</w:t>
      </w:r>
      <w:r>
        <w:rPr>
          <w:sz w:val="22"/>
          <w:szCs w:val="22"/>
        </w:rPr>
        <w:fldChar w:fldCharType="end"/>
      </w:r>
      <w:r>
        <w:rPr>
          <w:sz w:val="22"/>
          <w:szCs w:val="22"/>
        </w:rPr>
        <w:t>, или предоставит их с нарушением требований, установленных в Документации о закупке;</w:t>
      </w:r>
    </w:p>
    <w:p>
      <w:pPr>
        <w:pStyle w:val="Style28"/>
        <w:rPr>
          <w:rFonts w:ascii="Times New Roman" w:hAnsi="Times New Roman"/>
          <w:sz w:val="22"/>
          <w:szCs w:val="22"/>
        </w:rPr>
      </w:pPr>
      <w:r>
        <w:rPr>
          <w:sz w:val="22"/>
          <w:szCs w:val="22"/>
        </w:rPr>
        <w:t>не предоставит в установленный Заказчиком срок документы, указанные в пункте </w:t>
      </w:r>
      <w:r>
        <w:rPr>
          <w:sz w:val="22"/>
          <w:szCs w:val="22"/>
        </w:rPr>
        <w:fldChar w:fldCharType="begin"/>
      </w:r>
      <w:r>
        <w:rPr>
          <w:sz w:val="22"/>
          <w:szCs w:val="22"/>
        </w:rPr>
        <w:instrText xml:space="preserve"> REF _Ref125551072 \w \h </w:instrText>
      </w:r>
      <w:r>
        <w:rPr>
          <w:sz w:val="22"/>
          <w:szCs w:val="22"/>
        </w:rPr>
        <w:fldChar w:fldCharType="separate"/>
      </w:r>
      <w:r>
        <w:rPr>
          <w:sz w:val="22"/>
          <w:szCs w:val="22"/>
        </w:rPr>
        <w:t>5.2.6</w:t>
      </w:r>
      <w:r>
        <w:rPr>
          <w:sz w:val="22"/>
          <w:szCs w:val="22"/>
        </w:rPr>
        <w:fldChar w:fldCharType="end"/>
      </w:r>
      <w:r>
        <w:rPr>
          <w:sz w:val="22"/>
          <w:szCs w:val="22"/>
        </w:rPr>
        <w:t>, или предоставит их с нарушением требований, установленных в Документации о закупке;</w:t>
      </w:r>
    </w:p>
    <w:p>
      <w:pPr>
        <w:pStyle w:val="Style28"/>
        <w:rPr/>
      </w:pPr>
      <w:r>
        <w:rPr>
          <w:sz w:val="22"/>
          <w:szCs w:val="22"/>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4"/>
            <w:sz w:val="22"/>
            <w:szCs w:val="22"/>
          </w:rPr>
          <w:t>Приложения № 1 – Технические требования</w:t>
        </w:r>
      </w:hyperlink>
      <w:r>
        <w:rPr>
          <w:sz w:val="22"/>
          <w:szCs w:val="22"/>
        </w:rPr>
        <w:t xml:space="preserve"> (в случае установления таковых);</w:t>
      </w:r>
    </w:p>
    <w:p>
      <w:pPr>
        <w:pStyle w:val="Style28"/>
        <w:rPr>
          <w:rFonts w:ascii="Times New Roman" w:hAnsi="Times New Roman"/>
          <w:sz w:val="22"/>
          <w:szCs w:val="22"/>
        </w:rPr>
      </w:pPr>
      <w:r>
        <w:rPr>
          <w:sz w:val="22"/>
          <w:szCs w:val="22"/>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8"/>
        <w:rPr>
          <w:rFonts w:ascii="Times New Roman" w:hAnsi="Times New Roman"/>
          <w:sz w:val="22"/>
          <w:szCs w:val="22"/>
        </w:rPr>
      </w:pPr>
      <w:r>
        <w:rPr>
          <w:sz w:val="22"/>
          <w:szCs w:val="22"/>
        </w:rPr>
        <w:t>не выполнит другие условия, прямо предусмотренные Документацией о закупке,</w:t>
      </w:r>
    </w:p>
    <w:p>
      <w:pPr>
        <w:pStyle w:val="Style31"/>
        <w:ind w:left="1134"/>
        <w:rPr>
          <w:rFonts w:ascii="Times New Roman" w:hAnsi="Times New Roman"/>
          <w:sz w:val="22"/>
          <w:szCs w:val="22"/>
        </w:rPr>
      </w:pPr>
      <w:r>
        <w:rPr>
          <w:sz w:val="22"/>
          <w:szCs w:val="22"/>
        </w:rPr>
        <w:t>то он (по истечению установленных в подразделе </w:t>
      </w:r>
      <w:r>
        <w:rPr>
          <w:sz w:val="22"/>
          <w:szCs w:val="22"/>
        </w:rPr>
        <w:fldChar w:fldCharType="begin"/>
      </w:r>
      <w:r>
        <w:rPr>
          <w:sz w:val="22"/>
          <w:szCs w:val="22"/>
        </w:rPr>
        <w:instrText xml:space="preserve"> REF _Ref138232981 \r \h </w:instrText>
      </w:r>
      <w:r>
        <w:rPr>
          <w:sz w:val="22"/>
          <w:szCs w:val="22"/>
        </w:rPr>
        <w:fldChar w:fldCharType="separate"/>
      </w:r>
      <w:r>
        <w:rPr>
          <w:sz w:val="22"/>
          <w:szCs w:val="22"/>
        </w:rPr>
        <w:t>5.2</w:t>
      </w:r>
      <w:r>
        <w:rPr>
          <w:sz w:val="22"/>
          <w:szCs w:val="22"/>
        </w:rPr>
        <w:fldChar w:fldCharType="end"/>
      </w:r>
      <w:r>
        <w:rPr>
          <w:sz w:val="22"/>
          <w:szCs w:val="22"/>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5"/>
        <w:rPr>
          <w:rFonts w:ascii="Times New Roman" w:hAnsi="Times New Roman"/>
          <w:sz w:val="22"/>
          <w:szCs w:val="22"/>
        </w:rPr>
      </w:pPr>
      <w:bookmarkStart w:id="247" w:name="_Ref125363016"/>
      <w:bookmarkStart w:id="248" w:name="_Ref125363023"/>
      <w:bookmarkStart w:id="249" w:name="_Ref125363034"/>
      <w:bookmarkStart w:id="250" w:name="_Ref125363600"/>
      <w:bookmarkStart w:id="251" w:name="_Ref125363752"/>
      <w:bookmarkStart w:id="252" w:name="_Ref125364088"/>
      <w:bookmarkStart w:id="253" w:name="_Ref125364201"/>
      <w:bookmarkStart w:id="254" w:name="_Ref125370732"/>
      <w:bookmarkStart w:id="255" w:name="_Ref125370741"/>
      <w:bookmarkStart w:id="256" w:name="_Ref125370746"/>
      <w:bookmarkStart w:id="257" w:name="_Ref125370750"/>
      <w:bookmarkStart w:id="258" w:name="_Ref125370843"/>
      <w:bookmarkStart w:id="259" w:name="Прил01_ТехТребования"/>
      <w:bookmarkStart w:id="260" w:name="_Toc230928866"/>
      <w:r>
        <w:rPr>
          <w:sz w:val="22"/>
          <w:szCs w:val="22"/>
        </w:rPr>
        <w:t>Приложение № 1 – Технические требования</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Style26"/>
        <w:rPr>
          <w:rFonts w:ascii="Times New Roman" w:hAnsi="Times New Roman"/>
          <w:sz w:val="22"/>
          <w:szCs w:val="22"/>
        </w:rPr>
      </w:pPr>
      <w:bookmarkStart w:id="261" w:name="_Toc230928867"/>
      <w:r>
        <w:rPr>
          <w:sz w:val="22"/>
          <w:szCs w:val="22"/>
        </w:rPr>
        <w:t>Пояснения к Техническим требованиям</w:t>
      </w:r>
      <w:bookmarkEnd w:id="261"/>
    </w:p>
    <w:p>
      <w:pPr>
        <w:pStyle w:val="Style27"/>
        <w:rPr>
          <w:rFonts w:ascii="Times New Roman" w:hAnsi="Times New Roman"/>
          <w:sz w:val="22"/>
          <w:szCs w:val="22"/>
        </w:rPr>
      </w:pPr>
      <w:r>
        <w:rPr>
          <w:sz w:val="22"/>
          <w:szCs w:val="22"/>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5"/>
        <w:rPr>
          <w:rFonts w:ascii="Times New Roman" w:hAnsi="Times New Roman"/>
          <w:sz w:val="22"/>
          <w:szCs w:val="22"/>
        </w:rPr>
      </w:pPr>
      <w:bookmarkStart w:id="262" w:name="_Ref125361746"/>
      <w:bookmarkStart w:id="263" w:name="_Ref125363040"/>
      <w:bookmarkStart w:id="264" w:name="_Ref125363605"/>
      <w:bookmarkStart w:id="265" w:name="_Ref125363759"/>
      <w:bookmarkStart w:id="266" w:name="_Ref125364081"/>
      <w:bookmarkStart w:id="267" w:name="_Ref125364206"/>
      <w:bookmarkStart w:id="268" w:name="_Ref125370754"/>
      <w:bookmarkStart w:id="269" w:name="Прил02_ПроектДоговора"/>
      <w:bookmarkStart w:id="270" w:name="_Toc230928868"/>
      <w:r>
        <w:rPr>
          <w:sz w:val="22"/>
          <w:szCs w:val="22"/>
        </w:rPr>
        <w:t>Приложение № 2 – Проект договора</w:t>
      </w:r>
      <w:bookmarkEnd w:id="262"/>
      <w:bookmarkEnd w:id="263"/>
      <w:bookmarkEnd w:id="264"/>
      <w:bookmarkEnd w:id="265"/>
      <w:bookmarkEnd w:id="266"/>
      <w:bookmarkEnd w:id="267"/>
      <w:bookmarkEnd w:id="268"/>
      <w:bookmarkEnd w:id="269"/>
      <w:bookmarkEnd w:id="270"/>
    </w:p>
    <w:p>
      <w:pPr>
        <w:pStyle w:val="Style26"/>
        <w:rPr>
          <w:rFonts w:ascii="Times New Roman" w:hAnsi="Times New Roman"/>
          <w:sz w:val="22"/>
          <w:szCs w:val="22"/>
        </w:rPr>
      </w:pPr>
      <w:bookmarkStart w:id="271" w:name="_Toc230928869"/>
      <w:r>
        <w:rPr>
          <w:sz w:val="22"/>
          <w:szCs w:val="22"/>
        </w:rPr>
        <w:t>Пояснения к Проекту договора</w:t>
      </w:r>
      <w:bookmarkEnd w:id="271"/>
    </w:p>
    <w:p>
      <w:pPr>
        <w:pStyle w:val="Style27"/>
        <w:rPr>
          <w:rFonts w:ascii="Times New Roman" w:hAnsi="Times New Roman"/>
          <w:sz w:val="22"/>
          <w:szCs w:val="22"/>
        </w:rPr>
      </w:pPr>
      <w:r>
        <w:rPr>
          <w:sz w:val="22"/>
          <w:szCs w:val="22"/>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7"/>
        <w:rPr>
          <w:rFonts w:ascii="Times New Roman" w:hAnsi="Times New Roman"/>
          <w:sz w:val="22"/>
          <w:szCs w:val="22"/>
        </w:rPr>
      </w:pPr>
      <w:r>
        <w:rPr>
          <w:sz w:val="22"/>
          <w:szCs w:val="22"/>
        </w:rPr>
        <w:t>Все положения Проекта договора являются существенными условиями для Заказчика, за исключением пунктов договора,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w:t>
      </w:r>
      <w:bookmarkStart w:id="272" w:name="_Hlk132883778"/>
      <w:r>
        <w:rPr>
          <w:sz w:val="22"/>
          <w:szCs w:val="22"/>
        </w:rPr>
        <w:t>как «Некритичные пункты Проекта договора»</w:t>
      </w:r>
      <w:bookmarkEnd w:id="272"/>
      <w:r>
        <w:rPr>
          <w:sz w:val="22"/>
          <w:szCs w:val="22"/>
        </w:rPr>
        <w:t>.</w:t>
      </w:r>
    </w:p>
    <w:p>
      <w:pPr>
        <w:pStyle w:val="Style27"/>
        <w:rPr>
          <w:rFonts w:ascii="Times New Roman" w:hAnsi="Times New Roman"/>
          <w:sz w:val="22"/>
          <w:szCs w:val="22"/>
        </w:rPr>
      </w:pPr>
      <w:r>
        <w:rPr>
          <w:sz w:val="22"/>
          <w:szCs w:val="22"/>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7"/>
        <w:rPr>
          <w:rFonts w:ascii="Times New Roman" w:hAnsi="Times New Roman"/>
          <w:sz w:val="22"/>
          <w:szCs w:val="22"/>
        </w:rPr>
      </w:pPr>
      <w:r>
        <w:rPr>
          <w:sz w:val="22"/>
          <w:szCs w:val="22"/>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73" w:name="_MON_1736255517"/>
      <w:bookmarkEnd w:id="273"/>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1"/>
        <w:jc w:val="center"/>
        <w:rPr>
          <w:rFonts w:ascii="Times New Roman" w:hAnsi="Times New Roman"/>
          <w:sz w:val="22"/>
          <w:szCs w:val="22"/>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05pt;height:49.6pt;mso-wrap-distance-right:0pt" filled="f" o:ole="">
            <v:imagedata r:id="rId14" o:title=""/>
          </v:shape>
          <o:OLEObject Type="Embed" ProgID="Word.Document.12" ShapeID="ole_rId13" DrawAspect="Icon" ObjectID="_958603959" r:id="rId13"/>
        </w:object>
      </w:r>
    </w:p>
    <w:p>
      <w:pPr>
        <w:pStyle w:val="Style25"/>
        <w:rPr>
          <w:rFonts w:ascii="Times New Roman" w:hAnsi="Times New Roman"/>
          <w:sz w:val="22"/>
          <w:szCs w:val="22"/>
        </w:rPr>
      </w:pPr>
      <w:bookmarkStart w:id="274" w:name="_Ref125361494"/>
      <w:bookmarkStart w:id="275" w:name="_Ref125361908"/>
      <w:bookmarkStart w:id="276" w:name="_Ref125365476"/>
      <w:bookmarkStart w:id="277" w:name="_Ref125370013"/>
      <w:bookmarkStart w:id="278" w:name="Прил03_ТребованияУчастникам"/>
      <w:bookmarkStart w:id="279" w:name="_Toc230928870"/>
      <w:r>
        <w:rPr>
          <w:sz w:val="22"/>
          <w:szCs w:val="22"/>
        </w:rPr>
        <w:t>Приложение № 3 – Требования к Участникам</w:t>
      </w:r>
      <w:bookmarkEnd w:id="274"/>
      <w:bookmarkEnd w:id="275"/>
      <w:bookmarkEnd w:id="276"/>
      <w:bookmarkEnd w:id="277"/>
      <w:bookmarkEnd w:id="278"/>
      <w:bookmarkEnd w:id="279"/>
    </w:p>
    <w:p>
      <w:pPr>
        <w:pStyle w:val="Style26"/>
        <w:rPr>
          <w:rFonts w:ascii="Times New Roman" w:hAnsi="Times New Roman"/>
          <w:sz w:val="22"/>
          <w:szCs w:val="22"/>
        </w:rPr>
      </w:pPr>
      <w:bookmarkStart w:id="280" w:name="_Toc230928871"/>
      <w:r>
        <w:rPr>
          <w:sz w:val="22"/>
          <w:szCs w:val="22"/>
        </w:rPr>
        <w:t>Пояснения к требованиям к Участникам</w:t>
      </w:r>
      <w:bookmarkEnd w:id="280"/>
    </w:p>
    <w:p>
      <w:pPr>
        <w:pStyle w:val="Style27"/>
        <w:rPr>
          <w:rFonts w:ascii="Times New Roman" w:hAnsi="Times New Roman"/>
          <w:sz w:val="22"/>
          <w:szCs w:val="22"/>
        </w:rPr>
      </w:pPr>
      <w:bookmarkStart w:id="281" w:name="_Hlk125628168"/>
      <w:r>
        <w:rPr>
          <w:sz w:val="22"/>
          <w:szCs w:val="22"/>
        </w:rPr>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81"/>
    </w:p>
    <w:p>
      <w:pPr>
        <w:pStyle w:val="Style26"/>
        <w:spacing w:before="360" w:after="120"/>
        <w:rPr>
          <w:rFonts w:ascii="Times New Roman" w:hAnsi="Times New Roman"/>
          <w:sz w:val="22"/>
          <w:szCs w:val="22"/>
        </w:rPr>
      </w:pPr>
      <w:bookmarkStart w:id="282" w:name="_Ref125361435"/>
      <w:bookmarkStart w:id="283" w:name="_Ref125361590"/>
      <w:bookmarkStart w:id="284" w:name="_Ref125361617"/>
      <w:bookmarkStart w:id="285" w:name="_Ref125361832"/>
      <w:bookmarkStart w:id="286" w:name="_Ref125361846"/>
      <w:bookmarkStart w:id="287" w:name="_Ref125361926"/>
      <w:bookmarkStart w:id="288" w:name="_Ref125366879"/>
      <w:bookmarkStart w:id="289" w:name="_Ref125368812"/>
      <w:bookmarkStart w:id="290" w:name="_Ref125368895"/>
      <w:bookmarkStart w:id="291" w:name="_Ref125369088"/>
      <w:bookmarkStart w:id="292" w:name="_Ref125370058"/>
      <w:bookmarkStart w:id="293" w:name="_Ref125370064"/>
      <w:bookmarkStart w:id="294" w:name="_Ref125370071"/>
      <w:bookmarkStart w:id="295" w:name="_Toc230928872"/>
      <w:r>
        <w:rPr>
          <w:sz w:val="22"/>
          <w:szCs w:val="22"/>
        </w:rPr>
        <w:t>Обязательные требования</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Участнику</w:t>
            </w:r>
          </w:p>
        </w:tc>
        <w:tc>
          <w:tcPr>
            <w:tcW w:w="8327"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numPr>
                <w:ilvl w:val="0"/>
                <w:numId w:val="3"/>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96" w:name="_Ref125552433"/>
            <w:bookmarkStart w:id="297" w:name="_Ref125552433"/>
            <w:bookmarkEnd w:id="297"/>
          </w:p>
        </w:tc>
        <w:tc>
          <w:tcPr>
            <w:tcW w:w="5671"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1"/>
              <w:widowControl/>
              <w:numPr>
                <w:ilvl w:val="0"/>
                <w:numId w:val="9"/>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В отношении гражданской правоспособности:</w:t>
            </w:r>
          </w:p>
          <w:p>
            <w:pPr>
              <w:pStyle w:val="Style31"/>
              <w:widowControl/>
              <w:numPr>
                <w:ilvl w:val="0"/>
                <w:numId w:val="17"/>
              </w:numPr>
              <w:suppressAutoHyphens w:val="true"/>
              <w:spacing w:before="60" w:after="60"/>
              <w:ind w:hanging="284" w:left="568"/>
              <w:rPr>
                <w:rFonts w:ascii="Times New Roman" w:hAnsi="Times New Roman"/>
                <w:sz w:val="22"/>
                <w:szCs w:val="22"/>
              </w:rPr>
            </w:pPr>
            <w:r>
              <w:rPr>
                <w:rFonts w:eastAsia="Calibri" w:cs=""/>
                <w:kern w:val="0"/>
                <w:sz w:val="22"/>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2"/>
                <w:szCs w:val="22"/>
                <w:lang w:val="en-US" w:eastAsia="en-US" w:bidi="ar-SA"/>
              </w:rPr>
              <w:t>pdf</w:t>
            </w:r>
            <w:r>
              <w:rPr>
                <w:rFonts w:eastAsia="Calibri" w:cs=""/>
                <w:kern w:val="0"/>
                <w:sz w:val="22"/>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31"/>
              <w:widowControl/>
              <w:numPr>
                <w:ilvl w:val="0"/>
                <w:numId w:val="9"/>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В отношении аккредитации:</w:t>
            </w:r>
          </w:p>
          <w:p>
            <w:pPr>
              <w:pStyle w:val="Style31"/>
              <w:widowControl/>
              <w:numPr>
                <w:ilvl w:val="0"/>
                <w:numId w:val="17"/>
              </w:numPr>
              <w:suppressAutoHyphens w:val="true"/>
              <w:spacing w:before="60" w:after="60"/>
              <w:ind w:hanging="284" w:left="568"/>
              <w:rPr/>
            </w:pPr>
            <w:r>
              <w:rPr>
                <w:rFonts w:eastAsia="Calibri" w:cs=""/>
                <w:kern w:val="0"/>
                <w:sz w:val="22"/>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2"/>
                  <w:szCs w:val="22"/>
                  <w:lang w:val="ru-RU" w:eastAsia="en-US" w:bidi="ar-SA"/>
                </w:rPr>
                <w:t>Приложение № 10</w:t>
              </w:r>
            </w:hyperlink>
            <w:r>
              <w:rPr>
                <w:rFonts w:eastAsia="Calibri" w:cs=""/>
                <w:kern w:val="0"/>
                <w:sz w:val="22"/>
                <w:szCs w:val="22"/>
                <w:lang w:val="ru-RU" w:eastAsia="en-US" w:bidi="ar-SA"/>
              </w:rPr>
              <w:t>);</w:t>
            </w:r>
          </w:p>
          <w:p>
            <w:pPr>
              <w:pStyle w:val="Style31"/>
              <w:widowControl/>
              <w:numPr>
                <w:ilvl w:val="0"/>
                <w:numId w:val="17"/>
              </w:numPr>
              <w:suppressAutoHyphens w:val="true"/>
              <w:spacing w:before="60" w:after="60"/>
              <w:ind w:hanging="284" w:left="568"/>
              <w:rPr/>
            </w:pPr>
            <w:r>
              <w:rPr>
                <w:rFonts w:eastAsia="Calibri" w:cs=""/>
                <w:kern w:val="0"/>
                <w:sz w:val="22"/>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предоставление Заявки на аккредитацию не требуется;</w:t>
            </w:r>
          </w:p>
          <w:p>
            <w:pPr>
              <w:pStyle w:val="Style31"/>
              <w:widowControl/>
              <w:numPr>
                <w:ilvl w:val="0"/>
                <w:numId w:val="17"/>
              </w:numPr>
              <w:suppressAutoHyphens w:val="true"/>
              <w:spacing w:before="60" w:after="60"/>
              <w:ind w:hanging="284" w:left="568"/>
              <w:rPr/>
            </w:pPr>
            <w:r>
              <w:rPr>
                <w:rFonts w:eastAsia="Calibri" w:cs=""/>
                <w:kern w:val="0"/>
                <w:sz w:val="22"/>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2"/>
                  <w:szCs w:val="22"/>
                  <w:lang w:val="ru-RU" w:eastAsia="en-US" w:bidi="ar-SA"/>
                </w:rPr>
                <w:t>Приложение № 10</w:t>
              </w:r>
            </w:hyperlink>
            <w:r>
              <w:rPr>
                <w:rFonts w:eastAsia="Calibri" w:cs=""/>
                <w:kern w:val="0"/>
                <w:sz w:val="22"/>
                <w:szCs w:val="22"/>
                <w:lang w:val="ru-RU" w:eastAsia="en-US" w:bidi="ar-SA"/>
              </w:rPr>
              <w:t>).</w:t>
            </w:r>
          </w:p>
          <w:p>
            <w:pPr>
              <w:pStyle w:val="Style31"/>
              <w:widowControl/>
              <w:suppressAutoHyphens w:val="true"/>
              <w:spacing w:before="60" w:after="60"/>
              <w:ind w:left="284"/>
              <w:rPr>
                <w:rFonts w:ascii="Times New Roman" w:hAnsi="Times New Roman"/>
                <w:sz w:val="22"/>
                <w:szCs w:val="22"/>
              </w:rPr>
            </w:pPr>
            <w:r>
              <w:rPr>
                <w:rFonts w:eastAsia="Calibri" w:cs=""/>
                <w:kern w:val="0"/>
                <w:sz w:val="22"/>
                <w:szCs w:val="22"/>
                <w:lang w:val="ru-RU" w:eastAsia="en-US" w:bidi="ar-SA"/>
              </w:rPr>
              <w:t>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1"/>
              <w:widowControl/>
              <w:suppressAutoHyphens w:val="true"/>
              <w:spacing w:before="60" w:after="60"/>
              <w:ind w:left="284"/>
              <w:rPr>
                <w:rFonts w:ascii="Times New Roman" w:hAnsi="Times New Roman"/>
                <w:sz w:val="22"/>
                <w:szCs w:val="22"/>
              </w:rPr>
            </w:pPr>
            <w:r>
              <w:rPr>
                <w:rFonts w:eastAsia="Calibri" w:cs=""/>
                <w:kern w:val="0"/>
                <w:sz w:val="22"/>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1"/>
              <w:widowControl/>
              <w:suppressAutoHyphens w:val="true"/>
              <w:spacing w:before="60" w:after="60"/>
              <w:ind w:left="284"/>
              <w:rPr>
                <w:rFonts w:ascii="Times New Roman" w:hAnsi="Times New Roman"/>
                <w:sz w:val="22"/>
                <w:szCs w:val="22"/>
              </w:rPr>
            </w:pPr>
            <w:r>
              <w:rPr>
                <w:rFonts w:eastAsia="Calibri" w:cs=""/>
                <w:kern w:val="0"/>
                <w:sz w:val="22"/>
                <w:szCs w:val="22"/>
                <w:lang w:val="ru-RU" w:eastAsia="en-US" w:bidi="ar-SA"/>
              </w:rPr>
              <w:t>−</w:t>
            </w:r>
            <w:r>
              <w:rPr>
                <w:rFonts w:eastAsia="Calibri" w:cs=""/>
                <w:kern w:val="0"/>
                <w:sz w:val="22"/>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1"/>
              <w:widowControl/>
              <w:suppressAutoHyphens w:val="true"/>
              <w:spacing w:before="60" w:after="60"/>
              <w:ind w:left="284"/>
              <w:rPr/>
            </w:pPr>
            <w:r>
              <w:rPr>
                <w:rFonts w:eastAsia="Calibri" w:cs=""/>
                <w:kern w:val="0"/>
                <w:sz w:val="22"/>
                <w:szCs w:val="22"/>
                <w:lang w:val="ru-RU" w:eastAsia="en-US" w:bidi="ar-SA"/>
              </w:rPr>
              <w:t>−</w:t>
            </w:r>
            <w:r>
              <w:rPr>
                <w:rFonts w:eastAsia="Calibri" w:cs=""/>
                <w:kern w:val="0"/>
                <w:sz w:val="22"/>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Форма_данных_бухотчетность">
              <w:r>
                <w:rPr>
                  <w:rStyle w:val="Hyperlink"/>
                  <w:rFonts w:eastAsia="Calibri" w:cs=""/>
                  <w:kern w:val="0"/>
                  <w:sz w:val="22"/>
                  <w:szCs w:val="22"/>
                  <w:lang w:val="ru-RU" w:eastAsia="en-US" w:bidi="ar-SA"/>
                </w:rPr>
                <w:t>Приложении № 11</w:t>
              </w:r>
            </w:hyperlink>
            <w:r>
              <w:rPr>
                <w:rFonts w:eastAsia="Calibri" w:cs=""/>
                <w:kern w:val="0"/>
                <w:sz w:val="22"/>
                <w:szCs w:val="22"/>
                <w:lang w:val="ru-RU" w:eastAsia="en-US" w:bidi="ar-SA"/>
              </w:rPr>
              <w:t>).</w:t>
            </w:r>
          </w:p>
          <w:p>
            <w:pPr>
              <w:pStyle w:val="Style31"/>
              <w:widowControl/>
              <w:suppressAutoHyphens w:val="true"/>
              <w:spacing w:before="60" w:after="60"/>
              <w:ind w:left="284"/>
              <w:rPr>
                <w:rFonts w:ascii="Times New Roman" w:hAnsi="Times New Roman"/>
                <w:sz w:val="22"/>
                <w:szCs w:val="22"/>
              </w:rPr>
            </w:pPr>
            <w:r>
              <w:rPr>
                <w:rFonts w:eastAsia="Calibri" w:cs=""/>
                <w:kern w:val="0"/>
                <w:sz w:val="22"/>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1"/>
              <w:widowControl/>
              <w:numPr>
                <w:ilvl w:val="0"/>
                <w:numId w:val="3"/>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98" w:name="_Ref139028406"/>
            <w:bookmarkStart w:id="299" w:name="_Ref139028406"/>
            <w:bookmarkEnd w:id="299"/>
          </w:p>
        </w:tc>
        <w:tc>
          <w:tcPr>
            <w:tcW w:w="5671"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2"/>
                <w:szCs w:val="22"/>
                <w:lang w:val="ru-RU" w:eastAsia="en-US" w:bidi="ar-SA"/>
              </w:rPr>
              <w:footnoteReference w:id="15"/>
            </w:r>
            <w:r>
              <w:rPr>
                <w:rFonts w:eastAsia="Calibri" w:cs=""/>
                <w:kern w:val="0"/>
                <w:sz w:val="22"/>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2"/>
                <w:szCs w:val="22"/>
                <w:lang w:val="ru-RU" w:eastAsia="en-US" w:bidi="ar-SA"/>
              </w:rPr>
              <w:footnoteReference w:id="16"/>
            </w:r>
            <w:r>
              <w:rPr>
                <w:rFonts w:eastAsia="Calibri" w:cs=""/>
                <w:kern w:val="0"/>
                <w:sz w:val="22"/>
                <w:szCs w:val="22"/>
                <w:lang w:val="ru-RU" w:eastAsia="en-US" w:bidi="ar-SA"/>
              </w:rPr>
              <w:t>:</w:t>
            </w:r>
          </w:p>
        </w:tc>
        <w:tc>
          <w:tcPr>
            <w:tcW w:w="8327" w:type="dxa"/>
            <w:tcBorders/>
          </w:tcPr>
          <w:p>
            <w:pPr>
              <w:pStyle w:val="Style31"/>
              <w:widowControl/>
              <w:suppressAutoHyphens w:val="true"/>
              <w:spacing w:before="60" w:after="60"/>
              <w:rPr/>
            </w:pPr>
            <w:r>
              <w:rPr>
                <w:rFonts w:eastAsia="Calibri" w:cs=""/>
                <w:kern w:val="0"/>
                <w:sz w:val="22"/>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1"/>
              <w:widowControl/>
              <w:numPr>
                <w:ilvl w:val="0"/>
                <w:numId w:val="3"/>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00" w:name="_Ref186213321"/>
            <w:bookmarkStart w:id="301" w:name="_Ref186213321"/>
            <w:bookmarkEnd w:id="301"/>
          </w:p>
        </w:tc>
        <w:tc>
          <w:tcPr>
            <w:tcW w:w="5671"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Если в подразделе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1"/>
              <w:widowControl/>
              <w:suppressAutoHyphens w:val="true"/>
              <w:spacing w:before="60" w:after="60"/>
              <w:rPr/>
            </w:pPr>
            <w:r>
              <w:rPr>
                <w:rFonts w:eastAsia="Calibri" w:cs=""/>
                <w:kern w:val="0"/>
                <w:sz w:val="22"/>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соответствующих сведений.</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1"/>
              <w:widowControl/>
              <w:numPr>
                <w:ilvl w:val="0"/>
                <w:numId w:val="3"/>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02" w:name="_Ref186213327"/>
            <w:bookmarkStart w:id="303" w:name="_Ref186213327"/>
            <w:bookmarkEnd w:id="303"/>
          </w:p>
        </w:tc>
        <w:tc>
          <w:tcPr>
            <w:tcW w:w="5671"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Если в подразделе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1"/>
              <w:widowControl/>
              <w:suppressAutoHyphens w:val="true"/>
              <w:spacing w:before="60" w:after="60"/>
              <w:rPr/>
            </w:pPr>
            <w:r>
              <w:rPr>
                <w:rFonts w:eastAsia="Calibri" w:cs=""/>
                <w:kern w:val="0"/>
                <w:sz w:val="22"/>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соответствующих сведений.</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6"/>
        <w:spacing w:before="360" w:after="120"/>
        <w:rPr>
          <w:rFonts w:ascii="Times New Roman" w:hAnsi="Times New Roman"/>
          <w:sz w:val="22"/>
          <w:szCs w:val="22"/>
        </w:rPr>
      </w:pPr>
      <w:bookmarkStart w:id="304" w:name="_Ref125361442"/>
      <w:bookmarkStart w:id="305" w:name="_Ref125361633"/>
      <w:bookmarkStart w:id="306" w:name="_Ref125361671"/>
      <w:bookmarkStart w:id="307" w:name="_Ref125361869"/>
      <w:bookmarkStart w:id="308" w:name="_Ref125361937"/>
      <w:bookmarkStart w:id="309" w:name="_Ref125365459"/>
      <w:bookmarkStart w:id="310" w:name="_Ref125367521"/>
      <w:bookmarkStart w:id="311" w:name="_Ref125367539"/>
      <w:bookmarkStart w:id="312" w:name="_Ref125368818"/>
      <w:bookmarkStart w:id="313" w:name="_Ref125368901"/>
      <w:bookmarkStart w:id="314" w:name="_Ref125368916"/>
      <w:bookmarkStart w:id="315" w:name="_Ref125369099"/>
      <w:bookmarkStart w:id="316" w:name="_Ref125370079"/>
      <w:bookmarkStart w:id="317" w:name="_Ref125709153"/>
      <w:bookmarkStart w:id="318" w:name="_Ref125709250"/>
      <w:bookmarkStart w:id="319" w:name="_Ref125709401"/>
      <w:bookmarkStart w:id="320" w:name="_Ref125709888"/>
      <w:bookmarkStart w:id="321" w:name="_Toc230928873"/>
      <w:r>
        <w:rPr>
          <w:sz w:val="22"/>
          <w:szCs w:val="22"/>
        </w:rPr>
        <w:t>Специальные требования</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Участнику</w:t>
            </w:r>
          </w:p>
        </w:tc>
        <w:tc>
          <w:tcPr>
            <w:tcW w:w="8327"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numPr>
                <w:ilvl w:val="0"/>
                <w:numId w:val="4"/>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5671" w:type="dxa"/>
            <w:tcBorders/>
          </w:tcPr>
          <w:p>
            <w:pPr>
              <w:pStyle w:val="Normal"/>
              <w:widowControl w:val="false"/>
              <w:tabs>
                <w:tab w:val="clear" w:pos="708"/>
                <w:tab w:val="left" w:pos="426" w:leader="none"/>
              </w:tabs>
              <w:spacing w:before="120" w:after="0"/>
              <w:ind w:left="74"/>
              <w:jc w:val="both"/>
              <w:rPr>
                <w:rFonts w:eastAsia="Calibri" w:cs="" w:cstheme="minorBidi" w:eastAsiaTheme="minorHAnsi"/>
                <w:highlight w:val="none"/>
                <w:shd w:fill="FFFF00" w:val="clear"/>
              </w:rPr>
            </w:pPr>
            <w:r>
              <w:rPr>
                <w:rFonts w:eastAsia="Calibri" w:cs="" w:cstheme="minorBidi" w:eastAsiaTheme="minorHAnsi"/>
                <w:i/>
                <w:sz w:val="22"/>
                <w:szCs w:val="22"/>
                <w:shd w:fill="FFFF00" w:val="clear"/>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членстве лиц:</w:t>
            </w:r>
          </w:p>
          <w:p>
            <w:pPr>
              <w:pStyle w:val="ListParagraph"/>
              <w:widowControl w:val="false"/>
              <w:numPr>
                <w:ilvl w:val="0"/>
                <w:numId w:val="23"/>
              </w:numPr>
              <w:tabs>
                <w:tab w:val="clear" w:pos="708"/>
                <w:tab w:val="left" w:pos="426" w:leader="none"/>
              </w:tabs>
              <w:spacing w:before="60" w:after="0"/>
              <w:contextualSpacing/>
              <w:jc w:val="both"/>
              <w:rPr>
                <w:rFonts w:eastAsia="Calibri" w:cs="" w:cstheme="minorBidi" w:eastAsiaTheme="minorHAnsi"/>
                <w:highlight w:val="none"/>
                <w:shd w:fill="FFFF00" w:val="clear"/>
              </w:rPr>
            </w:pPr>
            <w:r>
              <w:rPr>
                <w:rFonts w:eastAsia="Calibri" w:cs="" w:cstheme="minorBidi" w:eastAsiaTheme="minorHAnsi"/>
                <w:i/>
                <w:sz w:val="22"/>
                <w:szCs w:val="22"/>
                <w:shd w:fill="FFFF00" w:val="clear"/>
              </w:rPr>
              <w:t>осуществляющих строительство</w:t>
            </w:r>
            <w:r>
              <w:rPr>
                <w:rStyle w:val="FootnoteReference"/>
                <w:rFonts w:eastAsia="Calibri" w:cs="" w:cstheme="minorBidi" w:eastAsiaTheme="minorHAnsi"/>
                <w:shd w:fill="FFFF00" w:val="clear"/>
                <w:vertAlign w:val="superscript"/>
              </w:rPr>
              <w:footnoteReference w:id="17"/>
            </w:r>
            <w:r>
              <w:rPr>
                <w:rFonts w:eastAsia="Calibri" w:cs="" w:cstheme="minorBidi" w:eastAsiaTheme="minorHAnsi"/>
                <w:i/>
                <w:sz w:val="22"/>
                <w:szCs w:val="22"/>
                <w:shd w:fill="FFFF00" w:val="clear"/>
              </w:rPr>
              <w:t>, и зарегистрированной на территории субъекта Российской Федерации, в котором зарегистрирован Участник (с учетом исключений, предусмотренных законодательством), и иметь право выполнять работы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p>
            <w:pPr>
              <w:pStyle w:val="Normal"/>
              <w:widowControl w:val="false"/>
              <w:tabs>
                <w:tab w:val="clear" w:pos="708"/>
                <w:tab w:val="left" w:pos="358" w:leader="none"/>
                <w:tab w:val="left" w:pos="426" w:leader="none"/>
              </w:tabs>
              <w:spacing w:before="60" w:after="60"/>
              <w:ind w:left="74"/>
              <w:jc w:val="both"/>
              <w:rPr>
                <w:rFonts w:eastAsia="Calibri" w:cs="" w:cstheme="minorBidi" w:eastAsiaTheme="minorHAnsi"/>
                <w:highlight w:val="none"/>
                <w:shd w:fill="FFFF00" w:val="clear"/>
              </w:rPr>
            </w:pPr>
            <w:r>
              <w:rPr>
                <w:rFonts w:eastAsia="Calibri" w:cs="" w:cstheme="minorBidi" w:eastAsiaTheme="minorHAnsi"/>
                <w:i/>
                <w:sz w:val="22"/>
                <w:szCs w:val="22"/>
                <w:shd w:fill="FFFF00" w:val="clear"/>
              </w:rPr>
              <w:t>При этом:</w:t>
            </w:r>
          </w:p>
          <w:p>
            <w:pPr>
              <w:pStyle w:val="ListParagraph"/>
              <w:widowControl w:val="false"/>
              <w:numPr>
                <w:ilvl w:val="0"/>
                <w:numId w:val="25"/>
              </w:numPr>
              <w:tabs>
                <w:tab w:val="clear" w:pos="708"/>
                <w:tab w:val="left" w:pos="426" w:leader="none"/>
              </w:tabs>
              <w:spacing w:before="60" w:after="0"/>
              <w:contextualSpacing/>
              <w:jc w:val="both"/>
              <w:rPr>
                <w:rFonts w:eastAsia="Calibri" w:cs="" w:cstheme="minorBidi" w:eastAsiaTheme="minorHAnsi"/>
                <w:highlight w:val="none"/>
                <w:shd w:fill="FFFF00" w:val="clear"/>
              </w:rPr>
            </w:pPr>
            <w:r>
              <w:rPr>
                <w:rFonts w:eastAsia="Calibri" w:cs="" w:cstheme="minorBidi" w:eastAsiaTheme="minorHAnsi"/>
                <w:i/>
                <w:sz w:val="22"/>
                <w:szCs w:val="22"/>
                <w:shd w:fill="FFFF00" w:val="clear"/>
              </w:rPr>
              <w:t>уровень</w:t>
            </w:r>
            <w:r>
              <w:rPr>
                <w:rFonts w:eastAsia="Times New Roman" w:cs="" w:cstheme="minorBidi"/>
                <w:i/>
                <w:sz w:val="22"/>
                <w:szCs w:val="22"/>
                <w:shd w:fill="FFFF00" w:val="clear"/>
              </w:rPr>
              <w:t xml:space="preserve"> ответственности Участника по компенсационному фонду возмещения вреда должен соответствовать (быть не менее) предложенной в заявке стоимости (с учетом НДС) выполнения работ (строительство, реконструкция, капитальный ремонт объектов капитального строительства);</w:t>
            </w:r>
          </w:p>
          <w:p>
            <w:pPr>
              <w:pStyle w:val="ListParagraph"/>
              <w:widowControl w:val="false"/>
              <w:numPr>
                <w:ilvl w:val="0"/>
                <w:numId w:val="25"/>
              </w:numPr>
              <w:tabs>
                <w:tab w:val="clear" w:pos="708"/>
                <w:tab w:val="left" w:pos="426" w:leader="none"/>
              </w:tabs>
              <w:spacing w:before="60" w:after="0"/>
              <w:contextualSpacing/>
              <w:jc w:val="both"/>
              <w:rPr>
                <w:rFonts w:eastAsia="Calibri" w:cs="" w:cstheme="minorBidi" w:eastAsiaTheme="minorHAnsi"/>
                <w:highlight w:val="none"/>
                <w:shd w:fill="FFFF00" w:val="clear"/>
              </w:rPr>
            </w:pPr>
            <w:r>
              <w:rPr>
                <w:rFonts w:eastAsia="Calibri" w:cs="" w:cstheme="minorBidi" w:eastAsiaTheme="minorHAnsi"/>
                <w:i/>
                <w:sz w:val="22"/>
                <w:szCs w:val="22"/>
                <w:shd w:fill="FFFF00" w:val="clear"/>
              </w:rPr>
              <w:t>уровень</w:t>
            </w:r>
            <w:r>
              <w:rPr>
                <w:rFonts w:eastAsia="Times New Roman" w:cs="" w:cstheme="minorBidi"/>
                <w:i/>
                <w:sz w:val="22"/>
                <w:szCs w:val="22"/>
                <w:shd w:fill="FFFF00" w:val="clear"/>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w:t>
            </w:r>
            <w:r>
              <w:rPr>
                <w:rFonts w:eastAsia="Calibri" w:cs="" w:cstheme="minorBidi" w:eastAsiaTheme="minorHAnsi"/>
                <w:i/>
                <w:sz w:val="22"/>
                <w:szCs w:val="22"/>
                <w:shd w:fill="FFFF00" w:val="clear"/>
              </w:rPr>
              <w:t xml:space="preserve">выполнения работ </w:t>
            </w:r>
            <w:r>
              <w:rPr>
                <w:rFonts w:eastAsia="Times New Roman" w:cs="" w:cstheme="minorBidi"/>
                <w:i/>
                <w:sz w:val="22"/>
                <w:szCs w:val="22"/>
                <w:shd w:fill="FFFF00" w:val="clear"/>
              </w:rPr>
              <w:t xml:space="preserve">(строительство, реконструкция, капитальный ремонт объектов капитального строительства), </w:t>
            </w:r>
            <w:r>
              <w:rPr>
                <w:rFonts w:eastAsia="Calibri" w:cs="" w:cstheme="minorBidi" w:eastAsiaTheme="minorHAnsi"/>
                <w:i/>
                <w:sz w:val="22"/>
                <w:szCs w:val="22"/>
                <w:shd w:fill="FFFF00" w:val="clear"/>
              </w:rPr>
              <w:t>а также (в случае их наличия в Технических требованиях</w:t>
            </w:r>
            <w:r>
              <w:rPr>
                <w:rFonts w:eastAsia="Cambria" w:cs="" w:cstheme="minorBidi"/>
                <w:i/>
                <w:sz w:val="22"/>
                <w:szCs w:val="22"/>
                <w:shd w:fill="FFFF00" w:val="clear"/>
              </w:rPr>
              <w:t>) поставки оборудования и материально-технических ресурсов</w:t>
            </w:r>
            <w:r>
              <w:rPr>
                <w:rFonts w:eastAsia="Calibri" w:cs="" w:cstheme="minorBidi" w:eastAsiaTheme="minorHAnsi"/>
                <w:i/>
                <w:sz w:val="22"/>
                <w:szCs w:val="22"/>
                <w:shd w:fill="FFFF00" w:val="clear"/>
              </w:rPr>
              <w:t>.</w:t>
            </w:r>
          </w:p>
        </w:tc>
        <w:tc>
          <w:tcPr>
            <w:tcW w:w="8327" w:type="dxa"/>
            <w:tcBorders/>
          </w:tcPr>
          <w:p>
            <w:pPr>
              <w:pStyle w:val="Normal"/>
              <w:widowControl w:val="false"/>
              <w:tabs>
                <w:tab w:val="clear" w:pos="708"/>
                <w:tab w:val="left" w:pos="426" w:leader="none"/>
              </w:tabs>
              <w:spacing w:before="60" w:after="0"/>
              <w:jc w:val="both"/>
              <w:rPr>
                <w:rFonts w:eastAsia="Calibri" w:cs="" w:cstheme="minorBidi" w:eastAsiaTheme="minorHAnsi"/>
                <w:highlight w:val="none"/>
                <w:shd w:fill="FFFF00" w:val="clear"/>
              </w:rPr>
            </w:pPr>
            <w:r>
              <w:rPr>
                <w:rFonts w:eastAsia="Calibri" w:cs="" w:cstheme="minorBidi" w:eastAsiaTheme="minorHAnsi"/>
                <w:i/>
                <w:sz w:val="22"/>
                <w:szCs w:val="22"/>
                <w:shd w:fill="FFFF00" w:val="clear"/>
              </w:rPr>
              <w:t>Предоставление документов не требуется.</w:t>
            </w:r>
          </w:p>
          <w:p>
            <w:pPr>
              <w:pStyle w:val="Normal"/>
              <w:widowControl w:val="false"/>
              <w:tabs>
                <w:tab w:val="clear" w:pos="708"/>
                <w:tab w:val="left" w:pos="426" w:leader="none"/>
              </w:tabs>
              <w:spacing w:before="60" w:after="0"/>
              <w:jc w:val="both"/>
              <w:rPr>
                <w:rFonts w:eastAsia="Calibri" w:cs="" w:cstheme="minorBidi" w:eastAsiaTheme="minorHAnsi"/>
                <w:highlight w:val="none"/>
                <w:shd w:fill="FFFF00" w:val="clear"/>
              </w:rPr>
            </w:pPr>
            <w:r>
              <w:rPr>
                <w:rFonts w:eastAsia="Calibri" w:cs="" w:cstheme="minorBidi" w:eastAsiaTheme="minorHAnsi"/>
                <w:i/>
                <w:iCs/>
                <w:sz w:val="22"/>
                <w:szCs w:val="22"/>
                <w:shd w:fill="FFFF00" w:val="clear"/>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 Национальное объединение строителей НОСТРОЙ - сервис «Единый реестр членов СРО»</w:t>
            </w:r>
          </w:p>
          <w:p>
            <w:pPr>
              <w:pStyle w:val="Normal"/>
              <w:widowControl w:val="false"/>
              <w:tabs>
                <w:tab w:val="clear" w:pos="708"/>
                <w:tab w:val="left" w:pos="426" w:leader="none"/>
              </w:tabs>
              <w:spacing w:before="60" w:after="0"/>
              <w:jc w:val="both"/>
              <w:rPr/>
            </w:pPr>
            <w:r>
              <w:rPr>
                <w:rFonts w:eastAsia="Calibri" w:cs="" w:cstheme="minorBidi" w:eastAsiaTheme="minorHAnsi"/>
                <w:i/>
                <w:iCs/>
                <w:sz w:val="22"/>
                <w:szCs w:val="22"/>
                <w:shd w:fill="FFFF00" w:val="clear"/>
              </w:rPr>
              <w:t>(</w:t>
            </w:r>
            <w:hyperlink r:id="rId19" w:tgtFrame="https://reestr.nostroy.ru/sro/all/member/list">
              <w:r>
                <w:rPr>
                  <w:rStyle w:val="Hyperlink"/>
                  <w:rFonts w:eastAsia="Calibri" w:cs="" w:cstheme="minorBidi" w:eastAsiaTheme="minorHAnsi"/>
                  <w:i/>
                  <w:iCs/>
                  <w:sz w:val="22"/>
                  <w:szCs w:val="22"/>
                  <w:shd w:fill="FFFF00" w:val="clear"/>
                </w:rPr>
                <w:t>https://reestr.nostroy.ru/sro/all/member/list</w:t>
              </w:r>
            </w:hyperlink>
            <w:r>
              <w:rPr>
                <w:rFonts w:eastAsia="Calibri" w:cs="" w:cstheme="minorBidi" w:eastAsiaTheme="minorHAnsi"/>
                <w:i/>
                <w:iCs/>
                <w:sz w:val="22"/>
                <w:szCs w:val="22"/>
                <w:shd w:fill="FFFF00" w:val="clear"/>
              </w:rPr>
              <w:t>);</w:t>
            </w:r>
          </w:p>
        </w:tc>
      </w:tr>
    </w:tbl>
    <w:p>
      <w:pPr>
        <w:pStyle w:val="Style26"/>
        <w:spacing w:before="360" w:after="120"/>
        <w:rPr>
          <w:rFonts w:ascii="Times New Roman" w:hAnsi="Times New Roman"/>
          <w:sz w:val="22"/>
          <w:szCs w:val="22"/>
        </w:rPr>
      </w:pPr>
      <w:bookmarkStart w:id="322" w:name="_Ref125550270"/>
      <w:bookmarkStart w:id="323" w:name="_Ref125550353"/>
      <w:bookmarkStart w:id="324" w:name="_Ref125553242"/>
      <w:bookmarkStart w:id="325" w:name="_Ref125553296"/>
      <w:bookmarkStart w:id="326" w:name="_Ref125553475"/>
      <w:bookmarkStart w:id="327" w:name="_Ref125553681"/>
      <w:bookmarkStart w:id="328" w:name="_Ref125709154"/>
      <w:bookmarkStart w:id="329" w:name="_Ref125709256"/>
      <w:bookmarkStart w:id="330" w:name="_Ref125709541"/>
      <w:bookmarkStart w:id="331" w:name="_Ref125709895"/>
      <w:bookmarkStart w:id="332" w:name="_Toc230928874"/>
      <w:r>
        <w:rPr>
          <w:sz w:val="22"/>
          <w:szCs w:val="22"/>
        </w:rPr>
        <w:t>Квалификационные требования</w:t>
      </w:r>
      <w:bookmarkEnd w:id="322"/>
      <w:bookmarkEnd w:id="323"/>
      <w:bookmarkEnd w:id="324"/>
      <w:bookmarkEnd w:id="325"/>
      <w:bookmarkEnd w:id="326"/>
      <w:bookmarkEnd w:id="327"/>
      <w:bookmarkEnd w:id="328"/>
      <w:bookmarkEnd w:id="329"/>
      <w:bookmarkEnd w:id="330"/>
      <w:bookmarkEnd w:id="331"/>
      <w:bookmarkEnd w:id="332"/>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Участнику</w:t>
            </w:r>
          </w:p>
        </w:tc>
        <w:tc>
          <w:tcPr>
            <w:tcW w:w="8327"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документам,</w:t>
              <w:br/>
              <w:t>подтверждающим соответствие Участника установленным требованиям</w:t>
            </w:r>
          </w:p>
        </w:tc>
      </w:tr>
      <w:tr>
        <w:trPr>
          <w:trHeight w:val="779" w:hRule="atLeast"/>
        </w:trPr>
        <w:tc>
          <w:tcPr>
            <w:tcW w:w="1128" w:type="dxa"/>
            <w:tcBorders/>
          </w:tcPr>
          <w:p>
            <w:pPr>
              <w:pStyle w:val="Style31"/>
              <w:widowControl/>
              <w:numPr>
                <w:ilvl w:val="0"/>
                <w:numId w:val="11"/>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5671" w:type="dxa"/>
            <w:tcBorders/>
          </w:tcPr>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Квалификационные требования не установлены.</w:t>
            </w:r>
          </w:p>
        </w:tc>
        <w:tc>
          <w:tcPr>
            <w:tcW w:w="8327" w:type="dxa"/>
            <w:tcBorders/>
          </w:tcPr>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Квалификационные требования не установлены.</w:t>
            </w:r>
          </w:p>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Style w:val="Style11"/>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r>
    </w:tbl>
    <w:p>
      <w:pPr>
        <w:pStyle w:val="Style26"/>
        <w:spacing w:before="360" w:after="120"/>
        <w:rPr>
          <w:rFonts w:ascii="Times New Roman" w:hAnsi="Times New Roman"/>
          <w:sz w:val="22"/>
          <w:szCs w:val="22"/>
        </w:rPr>
      </w:pPr>
      <w:bookmarkStart w:id="333" w:name="_Ref125552455"/>
      <w:bookmarkStart w:id="334" w:name="_Ref125553500"/>
      <w:bookmarkStart w:id="335" w:name="_Ref125553692"/>
      <w:bookmarkStart w:id="336" w:name="_Ref125553703"/>
      <w:bookmarkStart w:id="337" w:name="_Ref125709228"/>
      <w:bookmarkStart w:id="338" w:name="_Toc230928875"/>
      <w:r>
        <w:rPr>
          <w:sz w:val="22"/>
          <w:szCs w:val="22"/>
        </w:rPr>
        <w:t>Дополнительные требования к Коллективным участникам</w:t>
      </w:r>
      <w:bookmarkEnd w:id="333"/>
      <w:bookmarkEnd w:id="334"/>
      <w:bookmarkEnd w:id="335"/>
      <w:bookmarkEnd w:id="336"/>
      <w:bookmarkEnd w:id="337"/>
      <w:bookmarkEnd w:id="338"/>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Коллективному участнику</w:t>
            </w:r>
          </w:p>
        </w:tc>
        <w:tc>
          <w:tcPr>
            <w:tcW w:w="8327"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документам, подтверждающим соответствие</w:t>
              <w:br/>
              <w:t>Коллективного участника установленным требованиям</w:t>
            </w:r>
          </w:p>
        </w:tc>
      </w:tr>
      <w:tr>
        <w:trPr/>
        <w:tc>
          <w:tcPr>
            <w:tcW w:w="1128" w:type="dxa"/>
            <w:tcBorders/>
          </w:tcPr>
          <w:p>
            <w:pPr>
              <w:pStyle w:val="Style31"/>
              <w:widowControl/>
              <w:numPr>
                <w:ilvl w:val="0"/>
                <w:numId w:val="5"/>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39" w:name="_Ref125370156"/>
            <w:bookmarkStart w:id="340" w:name="_Ref125370156"/>
            <w:bookmarkEnd w:id="340"/>
          </w:p>
        </w:tc>
        <w:tc>
          <w:tcPr>
            <w:tcW w:w="5671"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Члены Коллективного участника должны иметь между собой соглашение (или иной документ), соответствующее нормам ГК РФ:</w:t>
            </w:r>
          </w:p>
        </w:tc>
        <w:tc>
          <w:tcPr>
            <w:tcW w:w="8327"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_Ref125366972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3.2.3</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tc>
      </w:tr>
      <w:tr>
        <w:trPr/>
        <w:tc>
          <w:tcPr>
            <w:tcW w:w="1128" w:type="dxa"/>
            <w:tcBorders/>
          </w:tcPr>
          <w:p>
            <w:pPr>
              <w:pStyle w:val="Style31"/>
              <w:widowControl/>
              <w:numPr>
                <w:ilvl w:val="0"/>
                <w:numId w:val="5"/>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41" w:name="_Ref125553738"/>
            <w:bookmarkStart w:id="342" w:name="_Ref125553738"/>
            <w:bookmarkEnd w:id="342"/>
          </w:p>
        </w:tc>
        <w:tc>
          <w:tcPr>
            <w:tcW w:w="5671"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p>
        </w:tc>
        <w:tc>
          <w:tcPr>
            <w:tcW w:w="8327" w:type="dxa"/>
            <w:tcBorders/>
          </w:tcPr>
          <w:p>
            <w:pPr>
              <w:pStyle w:val="Style31"/>
              <w:widowControl/>
              <w:suppressAutoHyphens w:val="true"/>
              <w:spacing w:before="60" w:after="60"/>
              <w:rPr/>
            </w:pPr>
            <w:r>
              <w:rPr>
                <w:rFonts w:eastAsia="Calibri" w:cs=""/>
                <w:kern w:val="0"/>
                <w:sz w:val="22"/>
                <w:szCs w:val="22"/>
                <w:lang w:val="ru-RU" w:eastAsia="en-US" w:bidi="ar-SA"/>
              </w:rPr>
              <w:t>План распределения объемов поставки продукции (форма 10)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с указанием необходимой информации;</w:t>
            </w:r>
          </w:p>
        </w:tc>
      </w:tr>
      <w:tr>
        <w:trPr/>
        <w:tc>
          <w:tcPr>
            <w:tcW w:w="1128" w:type="dxa"/>
            <w:tcBorders/>
          </w:tcPr>
          <w:p>
            <w:pPr>
              <w:pStyle w:val="Style31"/>
              <w:widowControl/>
              <w:numPr>
                <w:ilvl w:val="0"/>
                <w:numId w:val="5"/>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43" w:name="_Ref125370162"/>
            <w:bookmarkStart w:id="344" w:name="_Ref125370162"/>
            <w:bookmarkEnd w:id="344"/>
          </w:p>
        </w:tc>
        <w:tc>
          <w:tcPr>
            <w:tcW w:w="5671" w:type="dxa"/>
            <w:tcBorders/>
          </w:tcPr>
          <w:p>
            <w:pPr>
              <w:pStyle w:val="Style31"/>
              <w:widowControl/>
              <w:suppressAutoHyphens w:val="true"/>
              <w:spacing w:before="60" w:after="60"/>
              <w:rPr/>
            </w:pPr>
            <w:r>
              <w:rPr>
                <w:rFonts w:eastAsia="Calibri" w:cs=""/>
                <w:kern w:val="0"/>
                <w:sz w:val="22"/>
                <w:szCs w:val="22"/>
                <w:lang w:val="ru-RU" w:eastAsia="en-US" w:bidi="ar-SA"/>
              </w:rPr>
              <w:t>Соответствие каждого члена Коллективного участника установленным требованиям (с учетом пунктов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_Ref125368791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3.2.5</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_Ref134705077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3.2.7</w:t>
            </w:r>
            <w:r>
              <w:rPr>
                <w:sz w:val="22"/>
                <w:kern w:val="0"/>
                <w:szCs w:val="22"/>
                <w:rFonts w:eastAsia="Calibri" w:cs=""/>
                <w:lang w:val="ru-RU" w:eastAsia="en-US" w:bidi="ar-SA"/>
              </w:rPr>
              <w:fldChar w:fldCharType="end"/>
            </w:r>
            <w:r>
              <w:rPr>
                <w:rFonts w:eastAsia="Calibri" w:cs=""/>
                <w:kern w:val="0"/>
                <w:sz w:val="22"/>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tc>
        <w:tc>
          <w:tcPr>
            <w:tcW w:w="8327"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Сведения и документы, аналогичные установленным в подразделах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t> –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_Ref125553242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t>, в отношении каждого члена Коллективного участника, подтверждающие его соответствие данным требованиям.</w:t>
            </w:r>
          </w:p>
        </w:tc>
      </w:tr>
    </w:tbl>
    <w:p>
      <w:pPr>
        <w:pStyle w:val="Style26"/>
        <w:spacing w:before="360" w:after="120"/>
        <w:rPr>
          <w:rFonts w:ascii="Times New Roman" w:hAnsi="Times New Roman"/>
          <w:sz w:val="22"/>
          <w:szCs w:val="22"/>
        </w:rPr>
      </w:pPr>
      <w:bookmarkStart w:id="345" w:name="_Ref125361823"/>
      <w:bookmarkStart w:id="346" w:name="_Ref125362031"/>
      <w:bookmarkStart w:id="347" w:name="_Ref125369117"/>
      <w:bookmarkStart w:id="348" w:name="_Ref125370173"/>
      <w:bookmarkStart w:id="349" w:name="_Ref125370180"/>
      <w:bookmarkStart w:id="350" w:name="_Ref125370209"/>
      <w:bookmarkStart w:id="351" w:name="_Ref125709777"/>
      <w:bookmarkStart w:id="352" w:name="_Ref125709973"/>
      <w:bookmarkStart w:id="353" w:name="_Toc230928876"/>
      <w:r>
        <w:rPr>
          <w:sz w:val="22"/>
          <w:szCs w:val="22"/>
        </w:rPr>
        <w:t>Дополнительные требования к Генеральным подрядчикам</w:t>
      </w:r>
      <w:bookmarkEnd w:id="345"/>
      <w:bookmarkEnd w:id="346"/>
      <w:bookmarkEnd w:id="347"/>
      <w:bookmarkEnd w:id="348"/>
      <w:bookmarkEnd w:id="349"/>
      <w:bookmarkEnd w:id="350"/>
      <w:bookmarkEnd w:id="351"/>
      <w:bookmarkEnd w:id="352"/>
      <w:bookmarkEnd w:id="353"/>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Генеральному подрядчику</w:t>
            </w:r>
          </w:p>
        </w:tc>
        <w:tc>
          <w:tcPr>
            <w:tcW w:w="8327"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1"/>
              <w:widowControl/>
              <w:numPr>
                <w:ilvl w:val="0"/>
                <w:numId w:val="6"/>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54" w:name="_Ref125370187"/>
            <w:bookmarkStart w:id="355" w:name="_Ref125370187"/>
            <w:bookmarkEnd w:id="355"/>
          </w:p>
        </w:tc>
        <w:tc>
          <w:tcPr>
            <w:tcW w:w="5671"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1"/>
              <w:widowControl/>
              <w:suppressAutoHyphens w:val="true"/>
              <w:spacing w:before="60" w:after="60"/>
              <w:rPr/>
            </w:pPr>
            <w:r>
              <w:rPr>
                <w:rFonts w:eastAsia="Calibri" w:cs=""/>
                <w:kern w:val="0"/>
                <w:sz w:val="22"/>
                <w:szCs w:val="22"/>
                <w:lang w:val="ru-RU" w:eastAsia="en-US" w:bidi="ar-SA"/>
              </w:rPr>
              <w:t>План распределения объемов поставки продукции (форма 11)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с указанием необходимой информации;</w:t>
            </w:r>
          </w:p>
        </w:tc>
      </w:tr>
      <w:tr>
        <w:trPr/>
        <w:tc>
          <w:tcPr>
            <w:tcW w:w="1128" w:type="dxa"/>
            <w:tcBorders/>
          </w:tcPr>
          <w:p>
            <w:pPr>
              <w:pStyle w:val="Style31"/>
              <w:widowControl/>
              <w:numPr>
                <w:ilvl w:val="0"/>
                <w:numId w:val="6"/>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56" w:name="_Ref125370199"/>
            <w:bookmarkStart w:id="357" w:name="_Ref125370199"/>
            <w:bookmarkEnd w:id="357"/>
          </w:p>
        </w:tc>
        <w:tc>
          <w:tcPr>
            <w:tcW w:w="5671"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Генеральный подрядчик должен доказать, что каждый из привлекаемых им субподрядчиков:</w:t>
            </w:r>
          </w:p>
          <w:p>
            <w:pPr>
              <w:pStyle w:val="Style31"/>
              <w:widowControl/>
              <w:numPr>
                <w:ilvl w:val="0"/>
                <w:numId w:val="16"/>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осведомлен о привлечении его в качестве субподрядчика;</w:t>
            </w:r>
          </w:p>
          <w:p>
            <w:pPr>
              <w:pStyle w:val="Style31"/>
              <w:widowControl/>
              <w:numPr>
                <w:ilvl w:val="0"/>
                <w:numId w:val="16"/>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31"/>
              <w:widowControl/>
              <w:numPr>
                <w:ilvl w:val="0"/>
                <w:numId w:val="6"/>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58" w:name="_Ref125370193"/>
            <w:bookmarkStart w:id="359" w:name="_Ref125370193"/>
            <w:bookmarkEnd w:id="359"/>
          </w:p>
        </w:tc>
        <w:tc>
          <w:tcPr>
            <w:tcW w:w="5671" w:type="dxa"/>
            <w:tcBorders/>
          </w:tcPr>
          <w:p>
            <w:pPr>
              <w:pStyle w:val="Style31"/>
              <w:widowControl/>
              <w:suppressAutoHyphens w:val="true"/>
              <w:spacing w:before="60" w:after="60"/>
              <w:rPr/>
            </w:pPr>
            <w:r>
              <w:rPr>
                <w:rFonts w:eastAsia="Calibri" w:cs=""/>
                <w:kern w:val="0"/>
                <w:sz w:val="22"/>
                <w:szCs w:val="22"/>
                <w:lang w:val="ru-RU" w:eastAsia="en-US" w:bidi="ar-SA"/>
              </w:rPr>
              <w:t>Соответствие каждого субподрядчика установленным требованиям (с учетом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_Ref125368863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r>
            <w:r>
              <w:rPr>
                <w:sz w:val="22"/>
                <w:kern w:val="0"/>
                <w:szCs w:val="22"/>
                <w:rFonts w:eastAsia="Calibri" w:cs=""/>
                <w:lang w:val="ru-RU" w:eastAsia="en-US" w:bidi="ar-SA"/>
              </w:rPr>
              <w:fldChar w:fldCharType="end"/>
            </w:r>
            <w:r>
              <w:rPr>
                <w:rFonts w:eastAsia="Calibri" w:cs=""/>
                <w:kern w:val="0"/>
                <w:sz w:val="22"/>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tc>
        <w:tc>
          <w:tcPr>
            <w:tcW w:w="8327"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Сведения и документы, аналогичные установленным в подразделах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t> –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_Ref125553242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t>, в отношении каждого субподрядчика, подтверждающие его соответствие данным требованиям;</w:t>
            </w:r>
          </w:p>
        </w:tc>
      </w:tr>
      <w:tr>
        <w:trPr>
          <w:trHeight w:val="907" w:hRule="atLeast"/>
        </w:trPr>
        <w:tc>
          <w:tcPr>
            <w:tcW w:w="1128" w:type="dxa"/>
            <w:tcBorders/>
          </w:tcPr>
          <w:p>
            <w:pPr>
              <w:pStyle w:val="Style31"/>
              <w:widowControl/>
              <w:numPr>
                <w:ilvl w:val="0"/>
                <w:numId w:val="6"/>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60" w:name="_Ref125553847"/>
            <w:bookmarkStart w:id="361" w:name="_Ref125553847"/>
            <w:bookmarkEnd w:id="361"/>
          </w:p>
        </w:tc>
        <w:tc>
          <w:tcPr>
            <w:tcW w:w="5671" w:type="dxa"/>
            <w:tcBorders/>
          </w:tcPr>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Дополнительные требования не установлены.</w:t>
            </w:r>
          </w:p>
        </w:tc>
        <w:tc>
          <w:tcPr>
            <w:tcW w:w="8327" w:type="dxa"/>
            <w:tcBorders/>
          </w:tcPr>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Дополнительные требования не установлены.</w:t>
            </w:r>
          </w:p>
        </w:tc>
      </w:tr>
    </w:tbl>
    <w:p>
      <w:pPr>
        <w:pStyle w:val="Style26"/>
        <w:spacing w:before="360" w:after="120"/>
        <w:rPr>
          <w:rFonts w:ascii="Times New Roman" w:hAnsi="Times New Roman"/>
          <w:sz w:val="22"/>
          <w:szCs w:val="22"/>
        </w:rPr>
      </w:pPr>
      <w:bookmarkStart w:id="362" w:name="_Ref125550523"/>
      <w:bookmarkStart w:id="363" w:name="_Ref125550560"/>
      <w:bookmarkStart w:id="364" w:name="_Ref125550566"/>
      <w:bookmarkStart w:id="365" w:name="_Ref125553513"/>
      <w:bookmarkStart w:id="366" w:name="_Ref125553821"/>
      <w:bookmarkStart w:id="367" w:name="_Ref125710459"/>
      <w:bookmarkStart w:id="368" w:name="_Ref125710480"/>
      <w:bookmarkStart w:id="369" w:name="_Ref125710517"/>
      <w:bookmarkStart w:id="370" w:name="_Toc230928877"/>
      <w:r>
        <w:rPr>
          <w:sz w:val="22"/>
          <w:szCs w:val="22"/>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bookmarkEnd w:id="362"/>
      <w:bookmarkEnd w:id="363"/>
      <w:bookmarkEnd w:id="364"/>
      <w:bookmarkEnd w:id="365"/>
      <w:bookmarkEnd w:id="366"/>
      <w:bookmarkEnd w:id="367"/>
      <w:bookmarkEnd w:id="368"/>
      <w:bookmarkEnd w:id="369"/>
      <w:bookmarkEnd w:id="370"/>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Генеральному подрядчику</w:t>
            </w:r>
          </w:p>
        </w:tc>
        <w:tc>
          <w:tcPr>
            <w:tcW w:w="8327" w:type="dxa"/>
            <w:tcBorders/>
          </w:tcPr>
          <w:p>
            <w:pPr>
              <w:pStyle w:val="Style31"/>
              <w:keepNext w:val="fals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1"/>
              <w:widowControl/>
              <w:numPr>
                <w:ilvl w:val="0"/>
                <w:numId w:val="12"/>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5671" w:type="dxa"/>
            <w:tcBorders/>
          </w:tcPr>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Дополнительные требования не установлены.</w:t>
            </w:r>
          </w:p>
        </w:tc>
        <w:tc>
          <w:tcPr>
            <w:tcW w:w="8327" w:type="dxa"/>
            <w:tcBorders/>
          </w:tcPr>
          <w:p>
            <w:pPr>
              <w:pStyle w:val="Style34"/>
              <w:widowControl/>
              <w:suppressAutoHyphens w:val="true"/>
              <w:spacing w:before="60" w:after="60"/>
              <w:rPr>
                <w:rFonts w:ascii="Times New Roman" w:hAnsi="Times New Roman"/>
                <w:sz w:val="22"/>
                <w:szCs w:val="22"/>
              </w:rPr>
            </w:pPr>
            <w:r>
              <w:rPr>
                <w:sz w:val="22"/>
                <w:szCs w:val="22"/>
              </w:rPr>
            </w:r>
          </w:p>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Дополнительные требования не установлены.</w:t>
            </w:r>
          </w:p>
          <w:p>
            <w:pPr>
              <w:pStyle w:val="Style34"/>
              <w:widowControl/>
              <w:suppressAutoHyphens w:val="true"/>
              <w:spacing w:before="60" w:after="60"/>
              <w:rPr>
                <w:rFonts w:ascii="Times New Roman" w:hAnsi="Times New Roman"/>
                <w:sz w:val="22"/>
                <w:szCs w:val="22"/>
              </w:rPr>
            </w:pPr>
            <w:r>
              <w:rPr>
                <w:sz w:val="22"/>
                <w:szCs w:val="22"/>
              </w:rPr>
            </w:r>
          </w:p>
        </w:tc>
      </w:tr>
    </w:tbl>
    <w:p>
      <w:pPr>
        <w:sectPr>
          <w:headerReference w:type="default" r:id="rId20"/>
          <w:headerReference w:type="first" r:id="rId21"/>
          <w:footerReference w:type="default" r:id="rId22"/>
          <w:footerReference w:type="first" r:id="rId2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rFonts w:ascii="Times New Roman" w:hAnsi="Times New Roman"/>
          <w:sz w:val="22"/>
          <w:szCs w:val="22"/>
        </w:rPr>
      </w:pPr>
      <w:bookmarkStart w:id="371" w:name="_Toc230928878"/>
      <w:bookmarkStart w:id="372" w:name="Прил04_ФормыЗаявки"/>
      <w:bookmarkEnd w:id="372"/>
      <w:r>
        <w:rPr>
          <w:sz w:val="22"/>
          <w:szCs w:val="22"/>
        </w:rPr>
        <w:t>Приложение № 4 – Образцы форм документов, включаемых в состав заявки</w:t>
      </w:r>
      <w:bookmarkEnd w:id="371"/>
    </w:p>
    <w:p>
      <w:pPr>
        <w:pStyle w:val="Style26"/>
        <w:rPr>
          <w:rFonts w:ascii="Times New Roman" w:hAnsi="Times New Roman"/>
          <w:sz w:val="22"/>
          <w:szCs w:val="22"/>
        </w:rPr>
      </w:pPr>
      <w:bookmarkStart w:id="373" w:name="_Toc230928879"/>
      <w:r>
        <w:rPr>
          <w:sz w:val="22"/>
          <w:szCs w:val="22"/>
        </w:rPr>
        <w:t>Пояснения к Образцам форм документов, включаемых в состав заявки</w:t>
      </w:r>
      <w:bookmarkEnd w:id="373"/>
    </w:p>
    <w:p>
      <w:pPr>
        <w:pStyle w:val="Style27"/>
        <w:rPr>
          <w:rFonts w:ascii="Times New Roman" w:hAnsi="Times New Roman"/>
          <w:sz w:val="22"/>
          <w:szCs w:val="22"/>
        </w:rPr>
      </w:pPr>
      <w:r>
        <w:rPr>
          <w:sz w:val="22"/>
          <w:szCs w:val="22"/>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5"/>
        <w:rPr>
          <w:rFonts w:ascii="Times New Roman" w:hAnsi="Times New Roman"/>
          <w:sz w:val="22"/>
          <w:szCs w:val="22"/>
        </w:rPr>
      </w:pPr>
      <w:bookmarkStart w:id="374" w:name="_Toc230928880"/>
      <w:bookmarkStart w:id="375" w:name="Прил05_ФормыПобедителя"/>
      <w:bookmarkEnd w:id="375"/>
      <w:r>
        <w:rPr>
          <w:sz w:val="22"/>
          <w:szCs w:val="22"/>
        </w:rPr>
        <w:t>Приложение № 5 – Образцы форм документов, предоставляемых Победителем</w:t>
      </w:r>
      <w:bookmarkEnd w:id="374"/>
    </w:p>
    <w:p>
      <w:pPr>
        <w:pStyle w:val="Style26"/>
        <w:rPr>
          <w:rFonts w:ascii="Times New Roman" w:hAnsi="Times New Roman"/>
          <w:sz w:val="22"/>
          <w:szCs w:val="22"/>
        </w:rPr>
      </w:pPr>
      <w:bookmarkStart w:id="376" w:name="_Toc230928881"/>
      <w:r>
        <w:rPr>
          <w:sz w:val="22"/>
          <w:szCs w:val="22"/>
        </w:rPr>
        <w:t>Пояснения к Образцам форм документов, предоставляемых Победителем</w:t>
      </w:r>
      <w:bookmarkEnd w:id="376"/>
    </w:p>
    <w:p>
      <w:pPr>
        <w:pStyle w:val="Style27"/>
        <w:rPr>
          <w:rFonts w:ascii="Times New Roman" w:hAnsi="Times New Roman"/>
          <w:sz w:val="22"/>
          <w:szCs w:val="22"/>
        </w:rPr>
      </w:pPr>
      <w:r>
        <w:rPr>
          <w:sz w:val="22"/>
          <w:szCs w:val="22"/>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sz w:val="22"/>
          <w:szCs w:val="22"/>
        </w:rPr>
        <w:fldChar w:fldCharType="begin"/>
      </w:r>
      <w:r>
        <w:rPr>
          <w:sz w:val="22"/>
          <w:szCs w:val="22"/>
        </w:rPr>
        <w:instrText xml:space="preserve"> REF _Ref130395470 \r \h </w:instrText>
      </w:r>
      <w:r>
        <w:rPr>
          <w:sz w:val="22"/>
          <w:szCs w:val="22"/>
        </w:rPr>
        <w:fldChar w:fldCharType="separate"/>
      </w:r>
      <w:r>
        <w:rPr>
          <w:sz w:val="22"/>
          <w:szCs w:val="22"/>
        </w:rPr>
        <w:t>10.2</w:t>
      </w:r>
      <w:r>
        <w:rPr>
          <w:sz w:val="22"/>
          <w:szCs w:val="22"/>
        </w:rPr>
        <w:fldChar w:fldCharType="end"/>
      </w:r>
      <w:r>
        <w:rPr>
          <w:sz w:val="22"/>
          <w:szCs w:val="22"/>
        </w:rPr>
        <w:t xml:space="preserve">, </w:t>
      </w:r>
      <w:r>
        <w:rPr>
          <w:sz w:val="22"/>
          <w:szCs w:val="22"/>
        </w:rPr>
        <w:fldChar w:fldCharType="begin"/>
      </w:r>
      <w:r>
        <w:rPr>
          <w:sz w:val="22"/>
          <w:szCs w:val="22"/>
        </w:rPr>
        <w:instrText xml:space="preserve"> REF _Ref130395475 \r \h </w:instrText>
      </w:r>
      <w:r>
        <w:rPr>
          <w:sz w:val="22"/>
          <w:szCs w:val="22"/>
        </w:rPr>
        <w:fldChar w:fldCharType="separate"/>
      </w:r>
      <w:r>
        <w:rPr>
          <w:sz w:val="22"/>
          <w:szCs w:val="22"/>
        </w:rPr>
        <w:t>10.3</w:t>
      </w:r>
      <w:r>
        <w:rPr>
          <w:sz w:val="22"/>
          <w:szCs w:val="22"/>
        </w:rPr>
        <w:fldChar w:fldCharType="end"/>
      </w:r>
      <w:r>
        <w:rPr>
          <w:sz w:val="22"/>
          <w:szCs w:val="22"/>
        </w:rPr>
        <w:t>.</w:t>
      </w:r>
    </w:p>
    <w:p>
      <w:pPr>
        <w:pStyle w:val="Style26"/>
        <w:rPr>
          <w:rFonts w:ascii="Times New Roman" w:hAnsi="Times New Roman"/>
          <w:sz w:val="22"/>
          <w:szCs w:val="22"/>
        </w:rPr>
      </w:pPr>
      <w:bookmarkStart w:id="377" w:name="_Ref130395470"/>
      <w:bookmarkStart w:id="378" w:name="_Toc230928882"/>
      <w:r>
        <w:rPr>
          <w:sz w:val="22"/>
          <w:szCs w:val="22"/>
        </w:rPr>
        <w:t>Форма справки «Сведения о цепочке собственников, включая бенефициаров (в том числе конечных)»</w:t>
      </w:r>
      <w:bookmarkEnd w:id="377"/>
      <w:bookmarkEnd w:id="378"/>
    </w:p>
    <w:p>
      <w:pPr>
        <w:pStyle w:val="Style27"/>
        <w:rPr>
          <w:rFonts w:ascii="Times New Roman" w:hAnsi="Times New Roman"/>
          <w:sz w:val="22"/>
          <w:szCs w:val="22"/>
        </w:rPr>
      </w:pPr>
      <w:r>
        <w:rPr>
          <w:sz w:val="22"/>
          <w:szCs w:val="22"/>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7"/>
        <w:rPr>
          <w:rFonts w:ascii="Times New Roman" w:hAnsi="Times New Roman"/>
          <w:sz w:val="22"/>
          <w:szCs w:val="22"/>
        </w:rPr>
      </w:pPr>
      <w:r>
        <w:rPr>
          <w:sz w:val="22"/>
          <w:szCs w:val="22"/>
        </w:rPr>
        <w:t xml:space="preserve">Форма справки «Сведения о цепочке собственников, включая бенефициаров (в том числе конечных)» </w:t>
      </w:r>
      <w:r>
        <w:rPr>
          <w:sz w:val="22"/>
          <w:szCs w:val="22"/>
          <w:lang w:val="en-US"/>
        </w:rPr>
        <w:t>c</w:t>
      </w:r>
      <w:r>
        <w:rPr>
          <w:sz w:val="22"/>
          <w:szCs w:val="22"/>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sz w:val="22"/>
          <w:szCs w:val="22"/>
          <w:lang w:val="en-US"/>
        </w:rPr>
        <w:t>Microsoft</w:t>
      </w:r>
      <w:r>
        <w:rPr>
          <w:sz w:val="22"/>
          <w:szCs w:val="22"/>
        </w:rPr>
        <w:t xml:space="preserve"> </w:t>
      </w:r>
      <w:r>
        <w:rPr>
          <w:sz w:val="22"/>
          <w:szCs w:val="22"/>
          <w:lang w:val="en-US"/>
        </w:rPr>
        <w:t>Word</w:t>
      </w:r>
      <w:r>
        <w:rPr>
          <w:sz w:val="22"/>
          <w:szCs w:val="22"/>
        </w:rPr>
        <w:t>:</w:t>
      </w:r>
      <w:bookmarkStart w:id="379" w:name="_MON_1817895658"/>
    </w:p>
    <w:p>
      <w:pPr>
        <w:pStyle w:val="Style31"/>
        <w:jc w:val="center"/>
        <w:rPr>
          <w:rFonts w:ascii="Times New Roman" w:hAnsi="Times New Roman"/>
          <w:sz w:val="22"/>
          <w:szCs w:val="22"/>
        </w:rPr>
      </w:pPr>
      <w:bookmarkEnd w:id="379"/>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90.75pt;height:57.5pt;mso-wrap-distance-right:0pt" filled="f" o:ole="">
            <v:imagedata r:id="rId25" o:title=""/>
          </v:shape>
          <o:OLEObject Type="Embed" ProgID="Word.Document.12" ShapeID="ole_rId24" DrawAspect="Icon" ObjectID="_241058848" r:id="rId24"/>
        </w:object>
      </w:r>
    </w:p>
    <w:p>
      <w:pPr>
        <w:pStyle w:val="Style26"/>
        <w:rPr>
          <w:rFonts w:ascii="Times New Roman" w:hAnsi="Times New Roman"/>
          <w:sz w:val="22"/>
          <w:szCs w:val="22"/>
        </w:rPr>
      </w:pPr>
      <w:bookmarkStart w:id="380" w:name="_Ref130395475"/>
      <w:bookmarkStart w:id="381" w:name="_Toc230928883"/>
      <w:r>
        <w:rPr>
          <w:sz w:val="22"/>
          <w:szCs w:val="22"/>
        </w:rPr>
        <w:t>Форма «Заверение об обстоятельствах»</w:t>
      </w:r>
      <w:bookmarkEnd w:id="380"/>
      <w:bookmarkEnd w:id="381"/>
    </w:p>
    <w:p>
      <w:pPr>
        <w:pStyle w:val="Style27"/>
        <w:rPr>
          <w:rFonts w:ascii="Times New Roman" w:hAnsi="Times New Roman"/>
          <w:sz w:val="22"/>
          <w:szCs w:val="22"/>
        </w:rPr>
      </w:pPr>
      <w:r>
        <w:rPr>
          <w:sz w:val="22"/>
          <w:szCs w:val="22"/>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sz w:val="22"/>
          <w:szCs w:val="22"/>
          <w:lang w:val="en-US"/>
        </w:rPr>
        <w:t> </w:t>
      </w:r>
      <w:r>
        <w:rPr>
          <w:sz w:val="22"/>
          <w:szCs w:val="22"/>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sz w:val="22"/>
          <w:szCs w:val="22"/>
          <w:lang w:val="en-US"/>
        </w:rPr>
        <w:t> </w:t>
      </w:r>
      <w:r>
        <w:rPr>
          <w:sz w:val="22"/>
          <w:szCs w:val="22"/>
        </w:rPr>
        <w:t>(трех) рабочих дней с даты официального размещения Организатором итогового протокола по результатам закупки.</w:t>
      </w:r>
    </w:p>
    <w:p>
      <w:pPr>
        <w:pStyle w:val="Style27"/>
        <w:rPr>
          <w:rFonts w:ascii="Times New Roman" w:hAnsi="Times New Roman"/>
          <w:sz w:val="22"/>
          <w:szCs w:val="22"/>
        </w:rPr>
      </w:pPr>
      <w:r>
        <w:rPr>
          <w:sz w:val="22"/>
          <w:szCs w:val="22"/>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7"/>
        <w:rPr>
          <w:rFonts w:ascii="Times New Roman" w:hAnsi="Times New Roman"/>
          <w:sz w:val="22"/>
          <w:szCs w:val="22"/>
        </w:rPr>
      </w:pPr>
      <w:r>
        <w:rPr>
          <w:sz w:val="22"/>
          <w:szCs w:val="22"/>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7"/>
        <w:keepNext w:val="true"/>
        <w:rPr>
          <w:rFonts w:ascii="Times New Roman" w:hAnsi="Times New Roman"/>
          <w:sz w:val="22"/>
          <w:szCs w:val="22"/>
        </w:rPr>
      </w:pPr>
      <w:r>
        <w:rPr>
          <w:sz w:val="22"/>
          <w:szCs w:val="22"/>
        </w:rPr>
        <w:t xml:space="preserve">Форма «Заверение об обстоятельствах» приведена в отдельном файле в формате </w:t>
      </w:r>
      <w:r>
        <w:rPr>
          <w:sz w:val="22"/>
          <w:szCs w:val="22"/>
          <w:lang w:val="en-US"/>
        </w:rPr>
        <w:t>Microsoft</w:t>
      </w:r>
      <w:r>
        <w:rPr>
          <w:sz w:val="22"/>
          <w:szCs w:val="22"/>
        </w:rPr>
        <w:t xml:space="preserve"> </w:t>
      </w:r>
      <w:r>
        <w:rPr>
          <w:sz w:val="22"/>
          <w:szCs w:val="22"/>
          <w:lang w:val="en-US"/>
        </w:rPr>
        <w:t>Word</w:t>
      </w:r>
      <w:r>
        <w:rPr>
          <w:sz w:val="22"/>
          <w:szCs w:val="22"/>
        </w:rPr>
        <w:t>:</w:t>
      </w:r>
      <w:bookmarkStart w:id="382" w:name="_MON_1741074184"/>
    </w:p>
    <w:p>
      <w:pPr>
        <w:pStyle w:val="Style31"/>
        <w:spacing w:before="120" w:after="120"/>
        <w:jc w:val="center"/>
        <w:rPr>
          <w:rFonts w:ascii="Times New Roman" w:hAnsi="Times New Roman"/>
          <w:sz w:val="22"/>
          <w:szCs w:val="22"/>
        </w:rPr>
      </w:pPr>
      <w:bookmarkEnd w:id="382"/>
      <w:r>
        <w:rPr/>
        <w:object>
          <v:shapetype id="_x0000_tole_rId26" coordsize="21600,21600" o:spt="ole_rId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 type="_x0000_tole_rId26" style="width:78.05pt;height:49.6pt;mso-wrap-distance-right:0pt;mso-wrap-distance-bottom:6pt" filled="f" o:ole="">
            <v:imagedata r:id="rId27" o:title=""/>
          </v:shape>
          <o:OLEObject Type="Embed" ProgID="Word.Document.12" ShapeID="ole_rId26" DrawAspect="Icon" ObjectID="_1782059630" r:id="rId26"/>
        </w:object>
      </w:r>
    </w:p>
    <w:p>
      <w:pPr>
        <w:pStyle w:val="Style25"/>
        <w:rPr>
          <w:rFonts w:ascii="Times New Roman" w:hAnsi="Times New Roman"/>
          <w:sz w:val="22"/>
          <w:szCs w:val="22"/>
        </w:rPr>
      </w:pPr>
      <w:bookmarkStart w:id="383" w:name="_Toc230928884"/>
      <w:bookmarkStart w:id="384" w:name="_Ref125362865"/>
      <w:bookmarkStart w:id="385" w:name="_Ref125362900"/>
      <w:bookmarkStart w:id="386" w:name="Прил06_СоставЗаявки"/>
      <w:bookmarkEnd w:id="386"/>
      <w:r>
        <w:rPr>
          <w:sz w:val="22"/>
          <w:szCs w:val="22"/>
        </w:rPr>
        <w:t>Приложение № 6 – Состав заявки</w:t>
      </w:r>
      <w:bookmarkEnd w:id="383"/>
      <w:bookmarkEnd w:id="384"/>
      <w:bookmarkEnd w:id="385"/>
    </w:p>
    <w:p>
      <w:pPr>
        <w:pStyle w:val="Style26"/>
        <w:rPr>
          <w:rFonts w:ascii="Times New Roman" w:hAnsi="Times New Roman"/>
          <w:sz w:val="22"/>
          <w:szCs w:val="22"/>
        </w:rPr>
      </w:pPr>
      <w:bookmarkStart w:id="387" w:name="_Toc230928885"/>
      <w:r>
        <w:rPr>
          <w:sz w:val="22"/>
          <w:szCs w:val="22"/>
        </w:rPr>
        <w:t>Состав заявки</w:t>
      </w:r>
      <w:bookmarkEnd w:id="387"/>
    </w:p>
    <w:p>
      <w:pPr>
        <w:pStyle w:val="Style27"/>
        <w:spacing w:before="120" w:after="120"/>
        <w:rPr/>
      </w:pPr>
      <w:r>
        <w:rPr>
          <w:sz w:val="22"/>
          <w:szCs w:val="22"/>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4"/>
            <w:sz w:val="22"/>
            <w:szCs w:val="22"/>
          </w:rPr>
          <w:t>Приложении № 4</w:t>
        </w:r>
      </w:hyperlink>
      <w:r>
        <w:rPr>
          <w:sz w:val="22"/>
          <w:szCs w:val="22"/>
        </w:rPr>
        <w:t>):</w:t>
      </w:r>
    </w:p>
    <w:tbl>
      <w:tblPr>
        <w:tblStyle w:val="af6"/>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8075"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Наименование документа</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Письмо о подаче оферты (форма 2);</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4"/>
                  <w:rFonts w:eastAsia="Calibri" w:cs=""/>
                  <w:kern w:val="0"/>
                  <w:sz w:val="22"/>
                  <w:szCs w:val="22"/>
                  <w:lang w:val="ru-RU" w:eastAsia="en-US" w:bidi="ar-SA"/>
                </w:rPr>
                <w:t>Техническими требованиями (Приложение № 1)</w:t>
              </w:r>
            </w:hyperlink>
            <w:r>
              <w:rPr>
                <w:rFonts w:eastAsia="Calibri" w:cs=""/>
                <w:kern w:val="0"/>
                <w:sz w:val="22"/>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Техническое предложение (форма 4);</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Анкета Участника (форма 5);</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88" w:name="_Ref130389408"/>
            <w:bookmarkStart w:id="389" w:name="_Ref130389408"/>
            <w:bookmarkEnd w:id="389"/>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_Ref125709154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xml:space="preserve">) и (или) если в </w:t>
            </w:r>
            <w:hyperlink w:anchor="Прил08_ПорядокОценки">
              <w:r>
                <w:rPr>
                  <w:rStyle w:val="Style14"/>
                  <w:rFonts w:eastAsia="Calibri" w:cs=""/>
                  <w:kern w:val="0"/>
                  <w:sz w:val="22"/>
                  <w:szCs w:val="22"/>
                  <w:lang w:val="ru-RU" w:eastAsia="en-US" w:bidi="ar-SA"/>
                </w:rPr>
                <w:t>Порядке и критериях оценки и сопоставления заявок (Приложение № 8)</w:t>
              </w:r>
            </w:hyperlink>
            <w:r>
              <w:rPr>
                <w:rFonts w:eastAsia="Calibri" w:cs=""/>
                <w:kern w:val="0"/>
                <w:sz w:val="22"/>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90" w:name="_Ref130389413"/>
            <w:bookmarkStart w:id="391" w:name="_Ref130389413"/>
            <w:bookmarkEnd w:id="391"/>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_Ref125709154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xml:space="preserve">) и (или) если в </w:t>
            </w:r>
            <w:hyperlink w:anchor="Прил08_ПорядокОценки">
              <w:r>
                <w:rPr>
                  <w:rStyle w:val="Style14"/>
                  <w:rFonts w:eastAsia="Calibri" w:cs=""/>
                  <w:kern w:val="0"/>
                  <w:sz w:val="22"/>
                  <w:szCs w:val="22"/>
                  <w:lang w:val="ru-RU" w:eastAsia="en-US" w:bidi="ar-SA"/>
                </w:rPr>
                <w:t>Порядке и критериях оценки и сопоставления заявок (Приложение № 8)</w:t>
              </w:r>
            </w:hyperlink>
            <w:r>
              <w:rPr>
                <w:rFonts w:eastAsia="Calibri" w:cs=""/>
                <w:kern w:val="0"/>
                <w:sz w:val="22"/>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92" w:name="_Ref130389419"/>
            <w:bookmarkStart w:id="393" w:name="_Ref130389419"/>
            <w:bookmarkEnd w:id="393"/>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_Ref125709154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xml:space="preserve">) и (или) если в </w:t>
            </w:r>
            <w:hyperlink w:anchor="Прил08_ПорядокОценки">
              <w:r>
                <w:rPr>
                  <w:rStyle w:val="Style14"/>
                  <w:rFonts w:eastAsia="Calibri" w:cs=""/>
                  <w:kern w:val="0"/>
                  <w:sz w:val="22"/>
                  <w:szCs w:val="22"/>
                  <w:lang w:val="ru-RU" w:eastAsia="en-US" w:bidi="ar-SA"/>
                </w:rPr>
                <w:t>Порядке и критериях оценки и сопоставления заявок (Приложение № 8)</w:t>
              </w:r>
            </w:hyperlink>
            <w:r>
              <w:rPr>
                <w:rFonts w:eastAsia="Calibri" w:cs=""/>
                <w:kern w:val="0"/>
                <w:sz w:val="22"/>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4"/>
                  <w:rFonts w:eastAsia="Calibri" w:cs=""/>
                  <w:kern w:val="0"/>
                  <w:sz w:val="22"/>
                  <w:szCs w:val="22"/>
                  <w:lang w:val="ru-RU" w:eastAsia="en-US" w:bidi="ar-SA"/>
                </w:rPr>
                <w:t>Порядке и критериях оценки и сопоставления заявок (Приложение № 8)</w:t>
              </w:r>
            </w:hyperlink>
            <w:r>
              <w:rPr>
                <w:rFonts w:eastAsia="Calibri" w:cs=""/>
                <w:kern w:val="0"/>
                <w:sz w:val="22"/>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Normal"/>
              <w:widowControl/>
              <w:suppressAutoHyphens w:val="true"/>
              <w:spacing w:before="120" w:after="0"/>
              <w:jc w:val="both"/>
              <w:rPr/>
            </w:pPr>
            <w:r>
              <w:rPr>
                <w:rFonts w:eastAsia="Calibri" w:cs=""/>
                <w:kern w:val="0"/>
                <w:sz w:val="22"/>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_Ref125709153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Документы, подтверждающие соответствие Коллективного участника требованиям Документации о закупке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_Ref125709228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8.5</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 предоставляются, если Участник подает заявку от лица Коллективного участника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_Ref130305355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3.2</w:t>
            </w:r>
            <w:r>
              <w:rPr>
                <w:sz w:val="22"/>
                <w:kern w:val="0"/>
                <w:szCs w:val="22"/>
                <w:rFonts w:eastAsia="Calibri" w:cs=""/>
                <w:lang w:val="ru-RU" w:eastAsia="en-US" w:bidi="ar-SA"/>
              </w:rPr>
              <w:fldChar w:fldCharType="end"/>
            </w:r>
            <w:r>
              <w:rPr>
                <w:rFonts w:eastAsia="Calibri" w:cs=""/>
                <w:kern w:val="0"/>
                <w:sz w:val="22"/>
                <w:szCs w:val="22"/>
                <w:lang w:val="ru-RU" w:eastAsia="en-US" w:bidi="ar-SA"/>
              </w:rPr>
              <w:t>), а именно:</w:t>
            </w:r>
          </w:p>
          <w:p>
            <w:pPr>
              <w:pStyle w:val="Style31"/>
              <w:widowControl/>
              <w:numPr>
                <w:ilvl w:val="0"/>
                <w:numId w:val="10"/>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План распределения объемов поставки продукции (форма 10);</w:t>
            </w:r>
          </w:p>
          <w:p>
            <w:pPr>
              <w:pStyle w:val="Style31"/>
              <w:widowControl/>
              <w:numPr>
                <w:ilvl w:val="0"/>
                <w:numId w:val="10"/>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_Ref125366972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3.2.3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Документации о закупке;</w:t>
            </w:r>
          </w:p>
          <w:p>
            <w:pPr>
              <w:pStyle w:val="Style31"/>
              <w:widowControl/>
              <w:numPr>
                <w:ilvl w:val="0"/>
                <w:numId w:val="10"/>
              </w:numPr>
              <w:suppressAutoHyphens w:val="true"/>
              <w:spacing w:before="60" w:after="60"/>
              <w:ind w:hanging="284" w:left="284"/>
              <w:rPr/>
            </w:pPr>
            <w:r>
              <w:rPr>
                <w:rFonts w:eastAsia="Calibri" w:cs=""/>
                <w:kern w:val="0"/>
                <w:sz w:val="22"/>
                <w:szCs w:val="22"/>
                <w:lang w:val="ru-RU" w:eastAsia="en-US" w:bidi="ar-SA"/>
              </w:rPr>
              <w:t>прочие документы, определенные в подразделе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_Ref125709228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8.5</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Style w:val="Style14"/>
                <w:rFonts w:eastAsia="Calibri" w:cs=""/>
                <w:kern w:val="0"/>
                <w:sz w:val="22"/>
                <w:szCs w:val="22"/>
                <w:lang w:val="ru-RU" w:eastAsia="en-US" w:bidi="ar-SA"/>
              </w:rPr>
              <w:t>;</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_Ref125709777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8.6</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 предоставляются, если условиями проводимой закупки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_Ref125361702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3.3</w:t>
            </w:r>
            <w:r>
              <w:rPr>
                <w:sz w:val="22"/>
                <w:kern w:val="0"/>
                <w:szCs w:val="22"/>
                <w:rFonts w:eastAsia="Calibri" w:cs=""/>
                <w:lang w:val="ru-RU" w:eastAsia="en-US" w:bidi="ar-SA"/>
              </w:rPr>
              <w:fldChar w:fldCharType="end"/>
            </w:r>
            <w:r>
              <w:rPr>
                <w:rFonts w:eastAsia="Calibri" w:cs=""/>
                <w:kern w:val="0"/>
                <w:sz w:val="22"/>
                <w:szCs w:val="22"/>
                <w:lang w:val="ru-RU" w:eastAsia="en-US" w:bidi="ar-SA"/>
              </w:rPr>
              <w:t>), а именно:</w:t>
            </w:r>
          </w:p>
          <w:p>
            <w:pPr>
              <w:pStyle w:val="Style31"/>
              <w:widowControl/>
              <w:numPr>
                <w:ilvl w:val="0"/>
                <w:numId w:val="10"/>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План распределения объемов поставки продукции (форма 10);</w:t>
            </w:r>
          </w:p>
          <w:p>
            <w:pPr>
              <w:pStyle w:val="Style31"/>
              <w:widowControl/>
              <w:numPr>
                <w:ilvl w:val="0"/>
                <w:numId w:val="10"/>
              </w:numPr>
              <w:suppressAutoHyphens w:val="true"/>
              <w:spacing w:before="60" w:after="60"/>
              <w:ind w:hanging="284" w:left="284"/>
              <w:rPr/>
            </w:pPr>
            <w:r>
              <w:rPr>
                <w:rFonts w:eastAsia="Calibri" w:cs=""/>
                <w:kern w:val="0"/>
                <w:sz w:val="22"/>
                <w:szCs w:val="22"/>
                <w:lang w:val="ru-RU" w:eastAsia="en-US" w:bidi="ar-SA"/>
              </w:rPr>
              <w:t>прочие документы, определенные в подразделе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_Ref125709777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8.6</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Style w:val="Style14"/>
                <w:rFonts w:eastAsia="Calibri" w:cs=""/>
                <w:kern w:val="0"/>
                <w:sz w:val="22"/>
                <w:szCs w:val="22"/>
                <w:lang w:val="ru-RU" w:eastAsia="en-US" w:bidi="ar-SA"/>
              </w:rPr>
              <w:t>;</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Документы, подтверждающие соответствие Генерального подрядчика с обязательным привлечением субподрядчиков (соисполнителей) из числа субъектов МСП требованиям Документации о закупке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_Ref125710459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8.7</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 предоставляются, если условиями проводимой закупки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предусмотрено участие в закупке Участников, которые должны привлечь к исполнению Договора субподрядчиков (соисполнителей) из числа субъектов МСП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_Ref127524203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3.4</w:t>
            </w:r>
            <w:r>
              <w:rPr>
                <w:sz w:val="22"/>
                <w:kern w:val="0"/>
                <w:szCs w:val="22"/>
                <w:rFonts w:eastAsia="Calibri" w:cs=""/>
                <w:lang w:val="ru-RU" w:eastAsia="en-US" w:bidi="ar-SA"/>
              </w:rPr>
              <w:fldChar w:fldCharType="end"/>
            </w:r>
            <w:r>
              <w:rPr>
                <w:rFonts w:eastAsia="Calibri" w:cs=""/>
                <w:kern w:val="0"/>
                <w:sz w:val="22"/>
                <w:szCs w:val="22"/>
                <w:lang w:val="ru-RU" w:eastAsia="en-US" w:bidi="ar-SA"/>
              </w:rPr>
              <w:t>), а именно План распределения объемов поставки продукции (форма 10);</w:t>
            </w:r>
          </w:p>
        </w:tc>
      </w:tr>
      <w:tr>
        <w:trPr/>
        <w:tc>
          <w:tcPr>
            <w:tcW w:w="707" w:type="dxa"/>
            <w:tcBorders/>
          </w:tcPr>
          <w:p>
            <w:pPr>
              <w:pStyle w:val="Style31"/>
              <w:widowControl/>
              <w:numPr>
                <w:ilvl w:val="0"/>
                <w:numId w:val="7"/>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1"/>
              <w:widowControl/>
              <w:suppressAutoHyphens w:val="true"/>
              <w:spacing w:before="60" w:after="60"/>
              <w:rPr/>
            </w:pPr>
            <w:r>
              <w:rPr>
                <w:rFonts w:eastAsia="Calibri" w:cs=""/>
                <w:kern w:val="0"/>
                <w:sz w:val="22"/>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xml:space="preserve"> – предоставляются, если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xml:space="preserve"> было установлено соответствующее требование;</w:t>
            </w:r>
          </w:p>
        </w:tc>
      </w:tr>
    </w:tbl>
    <w:p>
      <w:pPr>
        <w:sectPr>
          <w:headerReference w:type="default" r:id="rId28"/>
          <w:headerReference w:type="first" r:id="rId29"/>
          <w:footerReference w:type="default" r:id="rId30"/>
          <w:footerReference w:type="first" r:id="rId3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pPr>
      <w:r>
        <w:rPr>
          <w:rStyle w:val="Style11"/>
          <w:i w:val="false"/>
          <w:iCs w:val="false"/>
          <w:sz w:val="22"/>
          <w:szCs w:val="22"/>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5"/>
        <w:rPr/>
      </w:pPr>
      <w:bookmarkStart w:id="394" w:name="_Ref125365264"/>
      <w:bookmarkStart w:id="395" w:name="_Toc230928886"/>
      <w:bookmarkStart w:id="396" w:name="Прил07_ОтборочныеКритерии"/>
      <w:bookmarkEnd w:id="396"/>
      <w:r>
        <w:rPr>
          <w:rStyle w:val="Style11"/>
          <w:i w:val="false"/>
          <w:iCs w:val="false"/>
          <w:sz w:val="22"/>
          <w:szCs w:val="22"/>
          <w:shd w:fill="auto" w:val="clear"/>
        </w:rPr>
        <w:t>Приложение №</w:t>
      </w:r>
      <w:r>
        <w:rPr>
          <w:sz w:val="22"/>
          <w:szCs w:val="22"/>
        </w:rPr>
        <w:t> 7 – Отборочные критерии рассмотрения заявок</w:t>
      </w:r>
      <w:bookmarkEnd w:id="394"/>
      <w:bookmarkEnd w:id="395"/>
    </w:p>
    <w:p>
      <w:pPr>
        <w:pStyle w:val="Style26"/>
        <w:spacing w:before="360" w:after="120"/>
        <w:rPr/>
      </w:pPr>
      <w:bookmarkStart w:id="397" w:name="_Toc230928887"/>
      <w:r>
        <w:rPr>
          <w:rStyle w:val="Style11"/>
          <w:i w:val="false"/>
          <w:iCs w:val="false"/>
          <w:sz w:val="22"/>
          <w:szCs w:val="22"/>
          <w:shd w:fill="auto" w:val="clear"/>
        </w:rPr>
        <w:t>Отборочные критерии рассмотрения заявок</w:t>
      </w:r>
      <w:bookmarkEnd w:id="397"/>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Номер</w:t>
              <w:br/>
              <w:t>критерия</w:t>
            </w:r>
          </w:p>
        </w:tc>
        <w:tc>
          <w:tcPr>
            <w:tcW w:w="8506"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Наименование</w:t>
              <w:br/>
              <w:t>отборочного критерия</w:t>
            </w:r>
          </w:p>
        </w:tc>
        <w:tc>
          <w:tcPr>
            <w:tcW w:w="3117"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Номер пункта</w:t>
              <w:br/>
              <w:t>Документации о закупке</w:t>
            </w:r>
          </w:p>
        </w:tc>
        <w:tc>
          <w:tcPr>
            <w:tcW w:w="2090"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Направления</w:t>
              <w:br/>
              <w:t>оценки заявок*</w:t>
            </w:r>
          </w:p>
        </w:tc>
      </w:tr>
      <w:tr>
        <w:trPr/>
        <w:tc>
          <w:tcPr>
            <w:tcW w:w="9918" w:type="dxa"/>
            <w:gridSpan w:val="2"/>
            <w:tcBorders/>
          </w:tcPr>
          <w:p>
            <w:pPr>
              <w:pStyle w:val="Style31"/>
              <w:keepNext w:val="true"/>
              <w:widowControl/>
              <w:suppressAutoHyphens w:val="true"/>
              <w:spacing w:before="60" w:after="60"/>
              <w:rPr>
                <w:rFonts w:ascii="Times New Roman" w:hAnsi="Times New Roman"/>
                <w:sz w:val="22"/>
                <w:szCs w:val="22"/>
              </w:rPr>
            </w:pPr>
            <w:r>
              <w:rPr>
                <w:rFonts w:eastAsia="Calibri" w:cs=""/>
                <w:b/>
                <w:bCs/>
                <w:kern w:val="0"/>
                <w:sz w:val="22"/>
                <w:szCs w:val="22"/>
                <w:lang w:val="ru-RU" w:eastAsia="en-US" w:bidi="ar-SA"/>
              </w:rPr>
              <w:t>Состав заявки и правильность ее оформления, в том числе:</w:t>
            </w:r>
          </w:p>
        </w:tc>
        <w:tc>
          <w:tcPr>
            <w:tcW w:w="3117"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pPr>
            <w:r>
              <w:rPr>
                <w:rFonts w:eastAsia="Calibri" w:cs=""/>
                <w:kern w:val="0"/>
                <w:sz w:val="22"/>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4"/>
                  <w:rFonts w:eastAsia="Calibri" w:cs=""/>
                  <w:kern w:val="0"/>
                  <w:sz w:val="22"/>
                  <w:szCs w:val="22"/>
                  <w:lang w:val="ru-RU" w:eastAsia="en-US" w:bidi="ar-SA"/>
                </w:rPr>
                <w:t>Приложения № 6 «Состав заявки»</w:t>
              </w:r>
            </w:hyperlink>
            <w:r>
              <w:rPr>
                <w:rFonts w:eastAsia="Calibri" w:cs=""/>
                <w:kern w:val="0"/>
                <w:sz w:val="22"/>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_Ref125362119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4.6</w:t>
            </w:r>
            <w:r>
              <w:rPr>
                <w:sz w:val="22"/>
                <w:kern w:val="0"/>
                <w:szCs w:val="22"/>
                <w:rFonts w:eastAsia="Calibri" w:cs=""/>
                <w:lang w:val="ru-RU" w:eastAsia="en-US" w:bidi="ar-SA"/>
              </w:rPr>
              <w:fldChar w:fldCharType="end"/>
            </w:r>
            <w:r>
              <w:rPr>
                <w:rFonts w:eastAsia="Calibri" w:cs=""/>
                <w:kern w:val="0"/>
                <w:sz w:val="22"/>
                <w:szCs w:val="22"/>
                <w:lang w:val="ru-RU" w:eastAsia="en-US" w:bidi="ar-SA"/>
              </w:rPr>
              <w:t>,</w:t>
              <w:br/>
            </w:r>
            <w:hyperlink w:anchor="Прил06_СоставЗаявки">
              <w:r>
                <w:rPr>
                  <w:rStyle w:val="Style14"/>
                  <w:rFonts w:eastAsia="Calibri" w:cs=""/>
                  <w:kern w:val="0"/>
                  <w:sz w:val="22"/>
                  <w:szCs w:val="22"/>
                  <w:lang w:val="ru-RU" w:eastAsia="en-US" w:bidi="ar-SA"/>
                </w:rPr>
                <w:t>Приложение № 6</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 Тех,</w:t>
              <w:br/>
              <w:t>Цена, Юр</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_Ref135749133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4.9</w:t>
            </w:r>
            <w:r>
              <w:rPr>
                <w:sz w:val="22"/>
                <w:kern w:val="0"/>
                <w:szCs w:val="22"/>
                <w:rFonts w:eastAsia="Calibri" w:cs=""/>
                <w:lang w:val="ru-RU" w:eastAsia="en-US" w:bidi="ar-SA"/>
              </w:rPr>
              <w:fldChar w:fldCharType="end"/>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 Тех,</w:t>
              <w:br/>
              <w:t>Цена, Юр</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_Ref130455226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4.17</w:t>
            </w:r>
            <w:r>
              <w:rPr>
                <w:sz w:val="22"/>
                <w:kern w:val="0"/>
                <w:szCs w:val="22"/>
                <w:rFonts w:eastAsia="Calibri" w:cs=""/>
                <w:lang w:val="ru-RU" w:eastAsia="en-US" w:bidi="ar-SA"/>
              </w:rPr>
              <w:fldChar w:fldCharType="end"/>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 – в части наличия сведений в реестре,</w:t>
            </w:r>
          </w:p>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Фин – в части соответствия</w:t>
            </w:r>
          </w:p>
        </w:tc>
      </w:tr>
      <w:tr>
        <w:trPr/>
        <w:tc>
          <w:tcPr>
            <w:tcW w:w="9918" w:type="dxa"/>
            <w:gridSpan w:val="2"/>
            <w:tcBorders/>
          </w:tcPr>
          <w:p>
            <w:pPr>
              <w:pStyle w:val="Style31"/>
              <w:keepNext w:val="true"/>
              <w:widowControl/>
              <w:suppressAutoHyphens w:val="true"/>
              <w:spacing w:before="60" w:after="60"/>
              <w:rPr>
                <w:rFonts w:ascii="Times New Roman" w:hAnsi="Times New Roman"/>
                <w:sz w:val="22"/>
                <w:szCs w:val="22"/>
              </w:rPr>
            </w:pPr>
            <w:r>
              <w:rPr>
                <w:rFonts w:eastAsia="Calibri" w:cs=""/>
                <w:b/>
                <w:bCs/>
                <w:kern w:val="0"/>
                <w:sz w:val="22"/>
                <w:szCs w:val="22"/>
                <w:lang w:val="ru-RU" w:eastAsia="en-US" w:bidi="ar-SA"/>
              </w:rPr>
              <w:t>Соответствие Письма о подаче оферты:</w:t>
            </w:r>
          </w:p>
        </w:tc>
        <w:tc>
          <w:tcPr>
            <w:tcW w:w="3117" w:type="dxa"/>
            <w:tcBorders/>
          </w:tcPr>
          <w:p>
            <w:pPr>
              <w:pStyle w:val="Style31"/>
              <w:keepNext w:val="true"/>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c>
          <w:tcPr>
            <w:tcW w:w="2090" w:type="dxa"/>
            <w:tcBorders/>
          </w:tcPr>
          <w:p>
            <w:pPr>
              <w:pStyle w:val="Style31"/>
              <w:keepNext w:val="true"/>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_Ref125362119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4.6</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4_ФормыЗаявки">
              <w:r>
                <w:rPr>
                  <w:rStyle w:val="Style14"/>
                  <w:rFonts w:eastAsia="Calibri" w:cs=""/>
                  <w:kern w:val="0"/>
                  <w:sz w:val="22"/>
                  <w:szCs w:val="22"/>
                  <w:lang w:val="ru-RU" w:eastAsia="en-US" w:bidi="ar-SA"/>
                </w:rPr>
                <w:t>Приложение № 4</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w:t>
            </w:r>
          </w:p>
        </w:tc>
      </w:tr>
      <w:tr>
        <w:trPr/>
        <w:tc>
          <w:tcPr>
            <w:tcW w:w="9918" w:type="dxa"/>
            <w:gridSpan w:val="2"/>
            <w:tcBorders/>
          </w:tcPr>
          <w:p>
            <w:pPr>
              <w:pStyle w:val="Style31"/>
              <w:keepNext w:val="true"/>
              <w:widowControl/>
              <w:suppressAutoHyphens w:val="true"/>
              <w:spacing w:before="60" w:after="60"/>
              <w:rPr>
                <w:rFonts w:ascii="Times New Roman" w:hAnsi="Times New Roman"/>
                <w:sz w:val="22"/>
                <w:szCs w:val="22"/>
              </w:rPr>
            </w:pPr>
            <w:r>
              <w:rPr>
                <w:rFonts w:eastAsia="Calibri" w:cs=""/>
                <w:b/>
                <w:bCs/>
                <w:kern w:val="0"/>
                <w:sz w:val="22"/>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_Ref125552433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2"/>
                <w:szCs w:val="22"/>
                <w:lang w:val="en-US" w:eastAsia="en-US" w:bidi="ar-SA"/>
              </w:rPr>
              <w:t> </w:t>
            </w:r>
            <w:r>
              <w:rPr>
                <w:rFonts w:eastAsia="Calibri" w:cs=""/>
                <w:i/>
                <w:iCs/>
                <w:kern w:val="0"/>
                <w:sz w:val="22"/>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_Ref138232981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5.2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 Юр</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_Ref139028406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_Ref186213321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_Ref130985951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4.13</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 xml:space="preserve">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_Ref186213053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4.13</w:t>
            </w:r>
            <w:r>
              <w:rPr>
                <w:sz w:val="22"/>
                <w:kern w:val="0"/>
                <w:szCs w:val="22"/>
                <w:rFonts w:eastAsia="Calibri" w:cs=""/>
                <w:lang w:val="ru-RU" w:eastAsia="en-US" w:bidi="ar-SA"/>
              </w:rPr>
              <w:fldChar w:fldCharType="end"/>
            </w:r>
            <w:r>
              <w:rPr>
                <w:rFonts w:eastAsia="Calibri" w:cs=""/>
                <w:kern w:val="0"/>
                <w:sz w:val="22"/>
                <w:szCs w:val="22"/>
                <w:lang w:val="ru-RU" w:eastAsia="en-US" w:bidi="ar-SA"/>
              </w:rPr>
              <w:t>,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_Ref186213327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u w:val="single"/>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2"/>
                <w:szCs w:val="22"/>
                <w:u w:val="single"/>
                <w:lang w:val="ru-RU" w:eastAsia="en-US" w:bidi="ar-SA"/>
              </w:rPr>
              <w:fldChar w:fldCharType="begin"/>
            </w:r>
            <w:r>
              <w:rPr>
                <w:sz w:val="22"/>
                <w:i/>
                <w:u w:val="single"/>
                <w:kern w:val="0"/>
                <w:szCs w:val="22"/>
                <w:iCs/>
                <w:rFonts w:eastAsia="Calibri" w:cs=""/>
                <w:lang w:val="ru-RU" w:eastAsia="en-US" w:bidi="ar-SA"/>
              </w:rPr>
              <w:instrText xml:space="preserve"> REF _Ref130985951 \r \h </w:instrText>
            </w:r>
            <w:r>
              <w:rPr>
                <w:sz w:val="22"/>
                <w:i/>
                <w:u w:val="single"/>
                <w:kern w:val="0"/>
                <w:szCs w:val="22"/>
                <w:iCs/>
                <w:rFonts w:eastAsia="Calibri" w:cs=""/>
                <w:lang w:val="ru-RU" w:eastAsia="en-US" w:bidi="ar-SA"/>
              </w:rPr>
              <w:fldChar w:fldCharType="separate"/>
            </w:r>
            <w:r>
              <w:rPr>
                <w:sz w:val="22"/>
                <w:i/>
                <w:u w:val="single"/>
                <w:kern w:val="0"/>
                <w:szCs w:val="22"/>
                <w:iCs/>
                <w:rFonts w:eastAsia="Calibri" w:cs=""/>
                <w:lang w:val="ru-RU" w:eastAsia="en-US" w:bidi="ar-SA"/>
              </w:rPr>
              <w:t>4.13</w:t>
            </w:r>
            <w:r>
              <w:rPr>
                <w:sz w:val="22"/>
                <w:i/>
                <w:u w:val="single"/>
                <w:kern w:val="0"/>
                <w:szCs w:val="22"/>
                <w:iCs/>
                <w:rFonts w:eastAsia="Calibri" w:cs=""/>
                <w:lang w:val="ru-RU" w:eastAsia="en-US" w:bidi="ar-SA"/>
              </w:rPr>
              <w:fldChar w:fldCharType="end"/>
            </w:r>
            <w:r>
              <w:rPr>
                <w:rFonts w:eastAsia="Calibri" w:cs=""/>
                <w:i/>
                <w:iCs/>
                <w:kern w:val="0"/>
                <w:sz w:val="22"/>
                <w:szCs w:val="22"/>
                <w:u w:val="single"/>
                <w:lang w:val="ru-RU" w:eastAsia="en-US" w:bidi="ar-SA"/>
              </w:rPr>
              <w:t>))</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 xml:space="preserve">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_Ref186213053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4.13</w:t>
            </w:r>
            <w:r>
              <w:rPr>
                <w:sz w:val="22"/>
                <w:kern w:val="0"/>
                <w:szCs w:val="22"/>
                <w:rFonts w:eastAsia="Calibri" w:cs=""/>
                <w:lang w:val="ru-RU" w:eastAsia="en-US" w:bidi="ar-SA"/>
              </w:rPr>
              <w:fldChar w:fldCharType="end"/>
            </w:r>
            <w:r>
              <w:rPr>
                <w:rFonts w:eastAsia="Calibri" w:cs=""/>
                <w:kern w:val="0"/>
                <w:sz w:val="22"/>
                <w:szCs w:val="22"/>
                <w:lang w:val="ru-RU" w:eastAsia="en-US" w:bidi="ar-SA"/>
              </w:rPr>
              <w:t>,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Участника специальным требованиям к Участникам</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_Ref125361442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8.3</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Участника квалификационным требованиям к Участникам</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_Ref125550270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Коллективного участника установленным в отношении его требованиям:</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рассмотрения заявки, поданной Коллективным участником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_Ref130305355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3.2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r>
      <w:tr>
        <w:trPr/>
        <w:tc>
          <w:tcPr>
            <w:tcW w:w="1412" w:type="dxa"/>
            <w:tcBorders/>
          </w:tcPr>
          <w:p>
            <w:pPr>
              <w:pStyle w:val="Style31"/>
              <w:widowControl/>
              <w:numPr>
                <w:ilvl w:val="1"/>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numPr>
                <w:ilvl w:val="0"/>
                <w:numId w:val="10"/>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в части требований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_Ref125370156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w:t>
            </w:r>
            <w:r>
              <w:rPr>
                <w:sz w:val="22"/>
                <w:kern w:val="0"/>
                <w:szCs w:val="22"/>
                <w:rFonts w:eastAsia="Calibri" w:cs=""/>
                <w:lang w:val="ru-RU" w:eastAsia="en-US" w:bidi="ar-SA"/>
              </w:rPr>
              <w:fldChar w:fldCharType="end"/>
            </w:r>
          </w:p>
          <w:p>
            <w:pPr>
              <w:pStyle w:val="Style31"/>
              <w:widowControl/>
              <w:suppressAutoHyphens w:val="true"/>
              <w:spacing w:before="60" w:after="60"/>
              <w:ind w:left="219"/>
              <w:rPr>
                <w:rFonts w:ascii="Times New Roman" w:hAnsi="Times New Roman"/>
                <w:sz w:val="22"/>
                <w:szCs w:val="22"/>
              </w:rPr>
            </w:pPr>
            <w:r>
              <w:rPr>
                <w:rFonts w:eastAsia="Calibri" w:cs=""/>
                <w:i/>
                <w:iCs/>
                <w:kern w:val="0"/>
                <w:sz w:val="22"/>
                <w:szCs w:val="22"/>
                <w:lang w:val="ru-RU" w:eastAsia="en-US" w:bidi="ar-SA"/>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_Ref138232981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5.2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_Ref125552455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8.5</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Юр</w:t>
            </w:r>
          </w:p>
        </w:tc>
      </w:tr>
      <w:tr>
        <w:trPr/>
        <w:tc>
          <w:tcPr>
            <w:tcW w:w="1412" w:type="dxa"/>
            <w:tcBorders/>
          </w:tcPr>
          <w:p>
            <w:pPr>
              <w:pStyle w:val="Style31"/>
              <w:widowControl/>
              <w:numPr>
                <w:ilvl w:val="1"/>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numPr>
                <w:ilvl w:val="0"/>
                <w:numId w:val="10"/>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в части требований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_Ref125553738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2</w:t>
            </w:r>
            <w:r>
              <w:rPr>
                <w:sz w:val="22"/>
                <w:kern w:val="0"/>
                <w:szCs w:val="22"/>
                <w:rFonts w:eastAsia="Calibri" w:cs=""/>
                <w:lang w:val="ru-RU" w:eastAsia="en-US" w:bidi="ar-SA"/>
              </w:rPr>
              <w:fldChar w:fldCharType="end"/>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_Ref125552455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8.5</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1"/>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numPr>
                <w:ilvl w:val="0"/>
                <w:numId w:val="10"/>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в части требований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_Ref125370162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w:t>
            </w:r>
            <w:r>
              <w:rPr>
                <w:sz w:val="22"/>
                <w:kern w:val="0"/>
                <w:szCs w:val="22"/>
                <w:rFonts w:eastAsia="Calibri" w:cs=""/>
                <w:lang w:val="ru-RU" w:eastAsia="en-US" w:bidi="ar-SA"/>
              </w:rPr>
              <w:fldChar w:fldCharType="end"/>
            </w:r>
          </w:p>
          <w:p>
            <w:pPr>
              <w:pStyle w:val="Style31"/>
              <w:widowControl/>
              <w:suppressAutoHyphens w:val="true"/>
              <w:spacing w:before="60" w:after="60"/>
              <w:ind w:left="219"/>
              <w:rPr>
                <w:rFonts w:ascii="Times New Roman" w:hAnsi="Times New Roman"/>
                <w:sz w:val="22"/>
                <w:szCs w:val="22"/>
              </w:rPr>
            </w:pPr>
            <w:r>
              <w:rPr>
                <w:rFonts w:eastAsia="Calibri" w:cs=""/>
                <w:i/>
                <w:iCs/>
                <w:kern w:val="0"/>
                <w:sz w:val="22"/>
                <w:szCs w:val="22"/>
                <w:lang w:val="ru-RU" w:eastAsia="en-US" w:bidi="ar-SA"/>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_Ref138232981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5.2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_Ref125552455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8.5</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 Тех,</w:t>
              <w:br/>
              <w:t>Юр</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Генерального подрядчика установленным в отношении его требованиям:</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_Ref125359973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1.2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_Ref125361702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3.3</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r>
      <w:tr>
        <w:trPr/>
        <w:tc>
          <w:tcPr>
            <w:tcW w:w="1412" w:type="dxa"/>
            <w:tcBorders/>
          </w:tcPr>
          <w:p>
            <w:pPr>
              <w:pStyle w:val="Style31"/>
              <w:widowControl/>
              <w:numPr>
                <w:ilvl w:val="1"/>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numPr>
                <w:ilvl w:val="0"/>
                <w:numId w:val="10"/>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в части требований пунктов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_Ref125370187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_Ref125370199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_Ref125553847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w:t>
            </w:r>
            <w:r>
              <w:rPr>
                <w:sz w:val="22"/>
                <w:kern w:val="0"/>
                <w:szCs w:val="22"/>
                <w:rFonts w:eastAsia="Calibri" w:cs=""/>
                <w:lang w:val="ru-RU" w:eastAsia="en-US" w:bidi="ar-SA"/>
              </w:rPr>
              <w:fldChar w:fldCharType="end"/>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_Ref125709777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8.6</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1"/>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numPr>
                <w:ilvl w:val="0"/>
                <w:numId w:val="10"/>
              </w:numPr>
              <w:suppressAutoHyphens w:val="true"/>
              <w:spacing w:before="60" w:after="60"/>
              <w:ind w:hanging="284" w:left="284"/>
              <w:rPr>
                <w:rFonts w:ascii="Times New Roman" w:hAnsi="Times New Roman"/>
                <w:sz w:val="22"/>
                <w:szCs w:val="22"/>
              </w:rPr>
            </w:pPr>
            <w:r>
              <w:rPr>
                <w:rFonts w:eastAsia="Calibri" w:cs=""/>
                <w:kern w:val="0"/>
                <w:sz w:val="22"/>
                <w:szCs w:val="22"/>
                <w:lang w:val="ru-RU" w:eastAsia="en-US" w:bidi="ar-SA"/>
              </w:rPr>
              <w:t>в части требований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_Ref125370193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w:t>
            </w:r>
            <w:r>
              <w:rPr>
                <w:sz w:val="22"/>
                <w:kern w:val="0"/>
                <w:szCs w:val="22"/>
                <w:rFonts w:eastAsia="Calibri" w:cs=""/>
                <w:lang w:val="ru-RU" w:eastAsia="en-US" w:bidi="ar-SA"/>
              </w:rPr>
              <w:fldChar w:fldCharType="end"/>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_Ref125709777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8.6</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 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Генерального подрядчика с обязательным привлечением субподрядчиков (соисполнителей) из числа субъектов МСП установленным в отношении его требованиям</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проведения закупки, участвовать в которой могут только лица, обязанные привлечь к исполнению Договора субподрядчиков (соисполнителей) из числа субъектов МСП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_Ref125359973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1.2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_Ref127524203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3.4</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_Ref125550523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8.7</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Орг</w:t>
            </w:r>
          </w:p>
        </w:tc>
      </w:tr>
      <w:tr>
        <w:trPr/>
        <w:tc>
          <w:tcPr>
            <w:tcW w:w="9918" w:type="dxa"/>
            <w:gridSpan w:val="2"/>
            <w:tcBorders/>
          </w:tcPr>
          <w:p>
            <w:pPr>
              <w:pStyle w:val="Style31"/>
              <w:keepNext w:val="true"/>
              <w:widowControl/>
              <w:suppressAutoHyphens w:val="true"/>
              <w:spacing w:before="60" w:after="60"/>
              <w:rPr/>
            </w:pPr>
            <w:r>
              <w:rPr>
                <w:rFonts w:eastAsia="Calibri" w:cs=""/>
                <w:b/>
                <w:bCs/>
                <w:kern w:val="0"/>
                <w:sz w:val="22"/>
                <w:szCs w:val="22"/>
                <w:lang w:val="ru-RU" w:eastAsia="en-US" w:bidi="ar-SA"/>
              </w:rPr>
              <w:t xml:space="preserve">Соответствие Технического предложения Участника </w:t>
            </w:r>
            <w:hyperlink w:anchor="Прил01_ТехТребования">
              <w:r>
                <w:rPr>
                  <w:rStyle w:val="Style14"/>
                  <w:rFonts w:eastAsia="Calibri" w:cs=""/>
                  <w:b/>
                  <w:bCs/>
                  <w:kern w:val="0"/>
                  <w:sz w:val="22"/>
                  <w:szCs w:val="22"/>
                  <w:lang w:val="ru-RU" w:eastAsia="en-US" w:bidi="ar-SA"/>
                </w:rPr>
                <w:t>Техническим требованиям (Приложение № 1)</w:t>
              </w:r>
            </w:hyperlink>
            <w:r>
              <w:rPr>
                <w:rFonts w:eastAsia="Calibri" w:cs=""/>
                <w:b/>
                <w:bCs/>
                <w:kern w:val="0"/>
                <w:sz w:val="22"/>
                <w:szCs w:val="22"/>
                <w:lang w:val="ru-RU" w:eastAsia="en-US" w:bidi="ar-SA"/>
              </w:rPr>
              <w:t>, в том числе:</w:t>
            </w:r>
          </w:p>
        </w:tc>
        <w:tc>
          <w:tcPr>
            <w:tcW w:w="3117" w:type="dxa"/>
            <w:tcBorders/>
          </w:tcPr>
          <w:p>
            <w:pPr>
              <w:pStyle w:val="Style31"/>
              <w:keepNext w:val="true"/>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c>
          <w:tcPr>
            <w:tcW w:w="2090" w:type="dxa"/>
            <w:tcBorders/>
          </w:tcPr>
          <w:p>
            <w:pPr>
              <w:pStyle w:val="Style31"/>
              <w:keepNext w:val="true"/>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исполнения Заказчиком</w:t>
            </w:r>
            <w:r>
              <w:rPr>
                <w:rFonts w:eastAsia="Calibri" w:cs=""/>
                <w:kern w:val="0"/>
                <w:sz w:val="22"/>
                <w:szCs w:val="22"/>
                <w:lang w:val="ru-RU" w:eastAsia="en-US" w:bidi="ar-SA"/>
              </w:rPr>
              <w:t xml:space="preserve"> </w:t>
            </w:r>
            <w:r>
              <w:rPr>
                <w:rFonts w:eastAsia="Calibri" w:cs=""/>
                <w:i/>
                <w:iCs/>
                <w:kern w:val="0"/>
                <w:sz w:val="22"/>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_Ref186213053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4.13</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_Ref130985951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4.13</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pPr>
            <w:r>
              <w:rPr>
                <w:rFonts w:eastAsia="Calibri" w:cs=""/>
                <w:kern w:val="0"/>
                <w:sz w:val="22"/>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pPr>
            <w:r>
              <w:rPr>
                <w:rFonts w:eastAsia="Calibri" w:cs=""/>
                <w:kern w:val="0"/>
                <w:sz w:val="22"/>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_Ref130985951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4.13</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pPr>
            <w:r>
              <w:rPr>
                <w:rFonts w:eastAsia="Calibri" w:cs=""/>
                <w:kern w:val="0"/>
                <w:sz w:val="22"/>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xml:space="preserve"> и (или) в </w:t>
            </w:r>
            <w:hyperlink w:anchor="Прил02_ПроектДоговора">
              <w:r>
                <w:rPr>
                  <w:rStyle w:val="Style14"/>
                  <w:rFonts w:eastAsia="Calibri" w:cs=""/>
                  <w:kern w:val="0"/>
                  <w:sz w:val="22"/>
                  <w:szCs w:val="22"/>
                  <w:lang w:val="ru-RU" w:eastAsia="en-US" w:bidi="ar-SA"/>
                </w:rPr>
                <w:t>Проекте договора (Приложение № 2)</w:t>
              </w:r>
            </w:hyperlink>
            <w:r>
              <w:rPr>
                <w:rFonts w:eastAsia="Calibri" w:cs=""/>
                <w:kern w:val="0"/>
                <w:sz w:val="22"/>
                <w:szCs w:val="22"/>
                <w:lang w:val="ru-RU" w:eastAsia="en-US" w:bidi="ar-SA"/>
              </w:rPr>
              <w:t>, или согласие с ними в Письме о подаче оферты</w:t>
            </w:r>
          </w:p>
        </w:tc>
        <w:tc>
          <w:tcPr>
            <w:tcW w:w="3117" w:type="dxa"/>
            <w:tcBorders/>
          </w:tcPr>
          <w:p>
            <w:pPr>
              <w:pStyle w:val="Style31"/>
              <w:widowControl/>
              <w:suppressAutoHyphens w:val="true"/>
              <w:spacing w:before="60" w:after="60"/>
              <w:jc w:val="center"/>
              <w:rPr/>
            </w:pPr>
            <w:hyperlink w:anchor="Прил01_ТехТребования">
              <w:r>
                <w:rPr>
                  <w:rStyle w:val="Style14"/>
                  <w:rFonts w:eastAsia="Calibri" w:cs=""/>
                  <w:kern w:val="0"/>
                  <w:sz w:val="22"/>
                  <w:szCs w:val="22"/>
                  <w:lang w:val="ru-RU" w:eastAsia="en-US" w:bidi="ar-SA"/>
                </w:rPr>
                <w:t>Приложение № 1</w:t>
              </w:r>
            </w:hyperlink>
            <w:r>
              <w:rPr>
                <w:rFonts w:eastAsia="Calibri" w:cs=""/>
                <w:kern w:val="0"/>
                <w:sz w:val="22"/>
                <w:szCs w:val="22"/>
                <w:lang w:val="ru-RU" w:eastAsia="en-US" w:bidi="ar-SA"/>
              </w:rPr>
              <w:t>,</w:t>
              <w:br/>
            </w:r>
            <w:hyperlink w:anchor="Прил02_ПроектДоговора">
              <w:r>
                <w:rPr>
                  <w:rStyle w:val="Style14"/>
                  <w:rFonts w:eastAsia="Calibri" w:cs=""/>
                  <w:kern w:val="0"/>
                  <w:sz w:val="22"/>
                  <w:szCs w:val="22"/>
                  <w:lang w:val="ru-RU" w:eastAsia="en-US" w:bidi="ar-SA"/>
                </w:rPr>
                <w:t>Приложение № 2</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pPr>
            <w:r>
              <w:rPr>
                <w:rFonts w:eastAsia="Calibri" w:cs=""/>
                <w:kern w:val="0"/>
                <w:sz w:val="22"/>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xml:space="preserve"> и (или) в </w:t>
            </w:r>
            <w:hyperlink w:anchor="Прил02_ПроектДоговора">
              <w:r>
                <w:rPr>
                  <w:rStyle w:val="Style14"/>
                  <w:rFonts w:eastAsia="Calibri" w:cs=""/>
                  <w:kern w:val="0"/>
                  <w:sz w:val="22"/>
                  <w:szCs w:val="22"/>
                  <w:lang w:val="ru-RU" w:eastAsia="en-US" w:bidi="ar-SA"/>
                </w:rPr>
                <w:t>Проекте договора (Приложение № 2)</w:t>
              </w:r>
            </w:hyperlink>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suppressAutoHyphens w:val="true"/>
              <w:spacing w:before="60" w:after="60"/>
              <w:jc w:val="center"/>
              <w:rPr/>
            </w:pPr>
            <w:hyperlink w:anchor="Прил01_ТехТребования">
              <w:r>
                <w:rPr>
                  <w:rStyle w:val="Style14"/>
                  <w:rFonts w:eastAsia="Calibri" w:cs=""/>
                  <w:kern w:val="0"/>
                  <w:sz w:val="22"/>
                  <w:szCs w:val="22"/>
                  <w:lang w:val="ru-RU" w:eastAsia="en-US" w:bidi="ar-SA"/>
                </w:rPr>
                <w:t>Приложение № 1</w:t>
              </w:r>
            </w:hyperlink>
            <w:r>
              <w:rPr>
                <w:rFonts w:eastAsia="Calibri" w:cs=""/>
                <w:kern w:val="0"/>
                <w:sz w:val="22"/>
                <w:szCs w:val="22"/>
                <w:lang w:val="ru-RU" w:eastAsia="en-US" w:bidi="ar-SA"/>
              </w:rPr>
              <w:t>,</w:t>
              <w:br/>
            </w:r>
            <w:hyperlink w:anchor="Прил02_ПроектДоговора">
              <w:r>
                <w:rPr>
                  <w:rStyle w:val="Style14"/>
                  <w:rFonts w:eastAsia="Calibri" w:cs=""/>
                  <w:kern w:val="0"/>
                  <w:sz w:val="22"/>
                  <w:szCs w:val="22"/>
                  <w:lang w:val="ru-RU" w:eastAsia="en-US" w:bidi="ar-SA"/>
                </w:rPr>
                <w:t>Приложение № 2</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pPr>
            <w:r>
              <w:rPr>
                <w:rFonts w:eastAsia="Calibri" w:cs=""/>
                <w:kern w:val="0"/>
                <w:sz w:val="22"/>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с предоставлением требуемых подтверждающих документов / сведений</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suppressAutoHyphens w:val="true"/>
              <w:spacing w:before="60" w:after="60"/>
              <w:jc w:val="center"/>
              <w:rPr/>
            </w:pP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9918" w:type="dxa"/>
            <w:gridSpan w:val="2"/>
            <w:tcBorders/>
          </w:tcPr>
          <w:p>
            <w:pPr>
              <w:pStyle w:val="Style31"/>
              <w:keepNext w:val="true"/>
              <w:widowControl/>
              <w:suppressAutoHyphens w:val="true"/>
              <w:spacing w:before="60" w:after="60"/>
              <w:rPr>
                <w:rFonts w:ascii="Times New Roman" w:hAnsi="Times New Roman"/>
                <w:sz w:val="22"/>
                <w:szCs w:val="22"/>
              </w:rPr>
            </w:pPr>
            <w:r>
              <w:rPr>
                <w:rFonts w:eastAsia="Calibri" w:cs=""/>
                <w:b/>
                <w:bCs/>
                <w:kern w:val="0"/>
                <w:sz w:val="22"/>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b/>
                <w:bCs/>
                <w:kern w:val="0"/>
                <w:sz w:val="22"/>
                <w:szCs w:val="22"/>
                <w:lang w:val="ru-RU" w:eastAsia="en-US" w:bidi="ar-SA"/>
              </w:rPr>
              <w:t>–</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представленных в составе Коммерческого предложения (и приложениях к нему) документах).</w:t>
            </w:r>
          </w:p>
        </w:tc>
        <w:tc>
          <w:tcPr>
            <w:tcW w:w="3117"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_Ref135749133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4.9</w:t>
            </w:r>
            <w:r>
              <w:rPr>
                <w:sz w:val="22"/>
                <w:kern w:val="0"/>
                <w:szCs w:val="22"/>
                <w:rFonts w:eastAsia="Calibri" w:cs=""/>
                <w:lang w:val="ru-RU" w:eastAsia="en-US" w:bidi="ar-SA"/>
              </w:rPr>
              <w:fldChar w:fldCharType="end"/>
            </w:r>
          </w:p>
          <w:p>
            <w:pPr>
              <w:pStyle w:val="Style31"/>
              <w:widowControl/>
              <w:suppressAutoHyphens w:val="true"/>
              <w:spacing w:before="60" w:after="60"/>
              <w:jc w:val="center"/>
              <w:rPr/>
            </w:pPr>
            <w:r>
              <w:rPr>
                <w:rFonts w:eastAsia="Calibri" w:cs=""/>
                <w:kern w:val="0"/>
                <w:sz w:val="22"/>
                <w:szCs w:val="22"/>
                <w:lang w:val="ru-RU" w:eastAsia="en-US" w:bidi="ar-SA"/>
              </w:rPr>
              <w:t>Приложение №1,</w:t>
              <w:br/>
            </w:r>
            <w:hyperlink w:anchor="Прил04_ФормыЗаявки">
              <w:r>
                <w:rPr>
                  <w:rStyle w:val="Style14"/>
                  <w:rFonts w:eastAsia="Calibri" w:cs=""/>
                  <w:kern w:val="0"/>
                  <w:sz w:val="22"/>
                  <w:szCs w:val="22"/>
                  <w:lang w:val="ru-RU" w:eastAsia="en-US" w:bidi="ar-SA"/>
                </w:rPr>
                <w:t>Приложение № 4</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Цена</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pPr>
            <w:r>
              <w:rPr>
                <w:rFonts w:eastAsia="Calibri" w:cs=""/>
                <w:kern w:val="0"/>
                <w:sz w:val="22"/>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_Ref130985951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4.13</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_Ref130985951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4.13</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br/>
              <w:t>(форма Коммерческого предложения)</w:t>
            </w:r>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Тех</w:t>
            </w:r>
          </w:p>
        </w:tc>
      </w:tr>
      <w:tr>
        <w:trPr/>
        <w:tc>
          <w:tcPr>
            <w:tcW w:w="1412" w:type="dxa"/>
            <w:tcBorders/>
          </w:tcPr>
          <w:p>
            <w:pPr>
              <w:pStyle w:val="Style31"/>
              <w:widowControl/>
              <w:numPr>
                <w:ilvl w:val="0"/>
                <w:numId w:val="8"/>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1"/>
              <w:widowControl/>
              <w:suppressAutoHyphens w:val="true"/>
              <w:spacing w:before="60" w:after="60"/>
              <w:rPr/>
            </w:pPr>
            <w:r>
              <w:rPr>
                <w:rFonts w:eastAsia="Calibri" w:cs=""/>
                <w:kern w:val="0"/>
                <w:sz w:val="22"/>
                <w:szCs w:val="22"/>
                <w:lang w:val="ru-RU" w:eastAsia="en-US" w:bidi="ar-SA"/>
              </w:rPr>
              <w:t>Соответствие подтверждающей документации, прилагаемой к</w:t>
            </w:r>
            <w:r>
              <w:rPr>
                <w:rFonts w:eastAsia="Calibri" w:cs=""/>
                <w:kern w:val="0"/>
                <w:sz w:val="22"/>
                <w:szCs w:val="22"/>
                <w:lang w:val="en-US" w:eastAsia="en-US" w:bidi="ar-SA"/>
              </w:rPr>
              <w:t> </w:t>
            </w:r>
            <w:r>
              <w:rPr>
                <w:rFonts w:eastAsia="Calibri" w:cs=""/>
                <w:kern w:val="0"/>
                <w:sz w:val="22"/>
                <w:szCs w:val="22"/>
                <w:lang w:val="ru-RU" w:eastAsia="en-US" w:bidi="ar-SA"/>
              </w:rPr>
              <w:t xml:space="preserve">Коммерческому приложению, требованиям,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p>
          <w:p>
            <w:pPr>
              <w:pStyle w:val="Style31"/>
              <w:widowControl/>
              <w:suppressAutoHyphens w:val="true"/>
              <w:spacing w:before="60" w:after="60"/>
              <w:rPr/>
            </w:pPr>
            <w:r>
              <w:rPr>
                <w:rFonts w:eastAsia="Calibri" w:cs=""/>
                <w:i/>
                <w:iCs/>
                <w:kern w:val="0"/>
                <w:sz w:val="22"/>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4"/>
                  <w:rFonts w:eastAsia="Calibri" w:cs=""/>
                  <w:i/>
                  <w:iCs/>
                  <w:kern w:val="0"/>
                  <w:sz w:val="22"/>
                  <w:szCs w:val="22"/>
                  <w:lang w:val="ru-RU" w:eastAsia="en-US" w:bidi="ar-SA"/>
                </w:rPr>
                <w:t>Технических требованиях (Приложение № 1)</w:t>
              </w:r>
            </w:hyperlink>
            <w:r>
              <w:rPr>
                <w:rFonts w:eastAsia="Calibri" w:cs=""/>
                <w:i/>
                <w:iCs/>
                <w:kern w:val="0"/>
                <w:sz w:val="22"/>
                <w:szCs w:val="22"/>
                <w:lang w:val="ru-RU" w:eastAsia="en-US" w:bidi="ar-SA"/>
              </w:rPr>
              <w:t>)</w:t>
            </w:r>
          </w:p>
        </w:tc>
        <w:tc>
          <w:tcPr>
            <w:tcW w:w="3117" w:type="dxa"/>
            <w:tcBorders/>
          </w:tcPr>
          <w:p>
            <w:pPr>
              <w:pStyle w:val="Style31"/>
              <w:widowControl/>
              <w:suppressAutoHyphens w:val="true"/>
              <w:spacing w:before="60" w:after="60"/>
              <w:jc w:val="center"/>
              <w:rPr/>
            </w:pP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1"/>
              <w:widowControl/>
              <w:suppressAutoHyphens w:val="true"/>
              <w:spacing w:before="60" w:after="60"/>
              <w:jc w:val="center"/>
              <w:rPr>
                <w:rFonts w:ascii="Times New Roman" w:hAnsi="Times New Roman"/>
                <w:sz w:val="22"/>
                <w:szCs w:val="22"/>
              </w:rPr>
            </w:pPr>
            <w:r>
              <w:rPr>
                <w:rFonts w:eastAsia="Calibri" w:cs=""/>
                <w:kern w:val="0"/>
                <w:sz w:val="22"/>
                <w:szCs w:val="22"/>
                <w:lang w:val="ru-RU" w:eastAsia="en-US" w:bidi="ar-SA"/>
              </w:rPr>
              <w:t>Цена</w:t>
            </w:r>
          </w:p>
        </w:tc>
      </w:tr>
    </w:tbl>
    <w:p>
      <w:pPr>
        <w:pStyle w:val="Style26"/>
        <w:rPr/>
      </w:pPr>
      <w:bookmarkStart w:id="398" w:name="_Ref207284016"/>
      <w:bookmarkStart w:id="399" w:name="_Toc230928888"/>
      <w:r>
        <w:rPr>
          <w:rStyle w:val="Style11"/>
          <w:i w:val="false"/>
          <w:iCs w:val="false"/>
          <w:sz w:val="22"/>
          <w:szCs w:val="22"/>
          <w:shd w:fill="auto" w:val="clear"/>
        </w:rPr>
        <w:t>Дополнительные критерии проверки заявок на соответствие условиям Документации о закупке</w:t>
      </w:r>
      <w:bookmarkEnd w:id="398"/>
      <w:bookmarkEnd w:id="399"/>
    </w:p>
    <w:p>
      <w:pPr>
        <w:pStyle w:val="Style31"/>
        <w:keepNext w:val="true"/>
        <w:spacing w:before="120" w:after="120"/>
        <w:rPr>
          <w:rFonts w:ascii="Times New Roman" w:hAnsi="Times New Roman"/>
          <w:sz w:val="22"/>
          <w:szCs w:val="22"/>
        </w:rPr>
      </w:pPr>
      <w:r>
        <w:rPr>
          <w:sz w:val="22"/>
          <w:szCs w:val="22"/>
        </w:rPr>
        <w:t>Несоответствие одному или всем дополнительным критериям не является основанием для отклонения заявки.</w:t>
      </w:r>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3"/>
        <w:gridCol w:w="8179"/>
        <w:gridCol w:w="3473"/>
        <w:gridCol w:w="2070"/>
      </w:tblGrid>
      <w:tr>
        <w:trPr>
          <w:cnfStyle w:val="100000000000" w:firstRow="1" w:lastRow="0" w:firstColumn="0" w:lastColumn="0" w:oddVBand="0" w:evenVBand="0" w:oddHBand="0" w:evenHBand="0" w:firstRowFirstColumn="0" w:firstRowLastColumn="0" w:lastRowFirstColumn="0" w:lastRowLastColumn="0"/>
        </w:trPr>
        <w:tc>
          <w:tcPr>
            <w:tcW w:w="1403"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Номер</w:t>
              <w:br/>
              <w:t>критерия</w:t>
            </w:r>
          </w:p>
        </w:tc>
        <w:tc>
          <w:tcPr>
            <w:tcW w:w="8179"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Наименование</w:t>
              <w:br/>
              <w:t>критерия проверки</w:t>
            </w:r>
          </w:p>
        </w:tc>
        <w:tc>
          <w:tcPr>
            <w:tcW w:w="3473"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Номер пункта</w:t>
              <w:br/>
              <w:t>Документации о закупке</w:t>
            </w:r>
          </w:p>
        </w:tc>
        <w:tc>
          <w:tcPr>
            <w:tcW w:w="2070" w:type="dxa"/>
            <w:tcBorders/>
          </w:tcPr>
          <w:p>
            <w:pPr>
              <w:pStyle w:val="Style31"/>
              <w:keepNext w:val="true"/>
              <w:keepLines w:val="false"/>
              <w:widowControl/>
              <w:suppressAutoHyphens w:val="true"/>
              <w:spacing w:before="60" w:after="60"/>
              <w:jc w:val="center"/>
              <w:rPr>
                <w:rFonts w:ascii="Times New Roman" w:hAnsi="Times New Roman"/>
                <w:sz w:val="22"/>
                <w:szCs w:val="22"/>
              </w:rPr>
            </w:pPr>
            <w:r>
              <w:rPr>
                <w:rFonts w:eastAsia="Calibri" w:cs=""/>
                <w:b/>
                <w:kern w:val="0"/>
                <w:sz w:val="22"/>
                <w:szCs w:val="22"/>
                <w:lang w:val="ru-RU" w:eastAsia="en-US" w:bidi="ar-SA"/>
              </w:rPr>
              <w:t>Направления</w:t>
              <w:br/>
              <w:t>оценки заявок*</w:t>
            </w:r>
          </w:p>
        </w:tc>
      </w:tr>
      <w:tr>
        <w:trPr/>
        <w:tc>
          <w:tcPr>
            <w:tcW w:w="1403" w:type="dxa"/>
            <w:tcBorders/>
          </w:tcPr>
          <w:p>
            <w:pPr>
              <w:pStyle w:val="Style31"/>
              <w:widowControl/>
              <w:numPr>
                <w:ilvl w:val="0"/>
                <w:numId w:val="14"/>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179" w:type="dxa"/>
            <w:tcBorders/>
          </w:tcPr>
          <w:p>
            <w:pPr>
              <w:pStyle w:val="Style31"/>
              <w:widowControl/>
              <w:suppressAutoHyphens w:val="true"/>
              <w:spacing w:before="60" w:after="60"/>
              <w:rPr>
                <w:rFonts w:ascii="Times New Roman" w:hAnsi="Times New Roman"/>
                <w:sz w:val="22"/>
                <w:szCs w:val="22"/>
              </w:rPr>
            </w:pPr>
            <w:r>
              <w:rPr>
                <w:rFonts w:eastAsia="Calibri" w:cs=""/>
                <w:kern w:val="0"/>
                <w:sz w:val="22"/>
                <w:szCs w:val="22"/>
                <w:lang w:val="ru-RU" w:eastAsia="en-US" w:bidi="ar-SA"/>
              </w:rPr>
              <w:t>Возможность применения преимущества, если в подразделе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1"/>
              <w:widowControl/>
              <w:suppressAutoHyphens w:val="true"/>
              <w:spacing w:before="60" w:after="60"/>
              <w:rPr>
                <w:rFonts w:ascii="Times New Roman" w:hAnsi="Times New Roman"/>
                <w:sz w:val="22"/>
                <w:szCs w:val="22"/>
              </w:rPr>
            </w:pPr>
            <w:r>
              <w:rPr>
                <w:rFonts w:eastAsia="Calibri" w:cs=""/>
                <w:i/>
                <w:iCs/>
                <w:kern w:val="0"/>
                <w:sz w:val="22"/>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_Ref130985951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4.13</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473" w:type="dxa"/>
            <w:tcBorders/>
          </w:tcPr>
          <w:p>
            <w:pPr>
              <w:pStyle w:val="Style31"/>
              <w:widowControl/>
              <w:suppressAutoHyphens w:val="true"/>
              <w:spacing w:before="60" w:after="60"/>
              <w:jc w:val="center"/>
              <w:rPr>
                <w:rFonts w:ascii="Times New Roman" w:hAnsi="Times New Roman"/>
                <w:sz w:val="22"/>
                <w:szCs w:val="22"/>
              </w:rPr>
            </w:pPr>
            <w:r>
              <w:rPr>
                <w:rFonts w:eastAsia="Calibri" w:cs=""/>
                <w:b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_Ref130985951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4.13</w:t>
            </w:r>
            <w:r>
              <w:rPr>
                <w:sz w:val="22"/>
                <w:kern w:val="0"/>
                <w:szCs w:val="22"/>
                <w:rFonts w:eastAsia="Calibri" w:cs=""/>
                <w:lang w:val="ru-RU" w:eastAsia="en-US" w:bidi="ar-SA"/>
              </w:rPr>
              <w:fldChar w:fldCharType="end"/>
            </w:r>
          </w:p>
        </w:tc>
        <w:tc>
          <w:tcPr>
            <w:tcW w:w="2070" w:type="dxa"/>
            <w:tcBorders/>
          </w:tcPr>
          <w:p>
            <w:pPr>
              <w:pStyle w:val="Style31"/>
              <w:widowControl/>
              <w:suppressAutoHyphens w:val="true"/>
              <w:spacing w:before="60" w:after="60"/>
              <w:jc w:val="center"/>
              <w:rPr>
                <w:rFonts w:ascii="Times New Roman" w:hAnsi="Times New Roman"/>
                <w:sz w:val="22"/>
                <w:szCs w:val="22"/>
              </w:rPr>
            </w:pPr>
            <w:r>
              <w:rPr>
                <w:rFonts w:eastAsia="Calibri" w:cs=""/>
                <w:bCs/>
                <w:kern w:val="0"/>
                <w:sz w:val="22"/>
                <w:szCs w:val="22"/>
                <w:lang w:val="ru-RU" w:eastAsia="en-US" w:bidi="ar-SA"/>
              </w:rPr>
              <w:t>Тех</w:t>
            </w:r>
          </w:p>
        </w:tc>
      </w:tr>
    </w:tbl>
    <w:p>
      <w:pPr>
        <w:pStyle w:val="Style31"/>
        <w:keepNext w:val="true"/>
        <w:tabs>
          <w:tab w:val="clear" w:pos="708"/>
          <w:tab w:val="left" w:pos="851" w:leader="none"/>
        </w:tabs>
        <w:spacing w:before="240" w:after="0"/>
        <w:rPr>
          <w:rFonts w:ascii="Times New Roman" w:hAnsi="Times New Roman"/>
          <w:sz w:val="22"/>
          <w:szCs w:val="22"/>
        </w:rPr>
      </w:pPr>
      <w:r>
        <w:rPr>
          <w:b/>
          <w:bCs/>
          <w:sz w:val="22"/>
          <w:szCs w:val="22"/>
        </w:rPr>
        <w:t>* Направления оценки заявок:</w:t>
      </w:r>
    </w:p>
    <w:p>
      <w:pPr>
        <w:pStyle w:val="Style31"/>
        <w:tabs>
          <w:tab w:val="clear" w:pos="708"/>
          <w:tab w:val="left" w:pos="1134" w:leader="none"/>
        </w:tabs>
        <w:ind w:hanging="1701" w:left="1701"/>
        <w:rPr>
          <w:rFonts w:ascii="Times New Roman" w:hAnsi="Times New Roman"/>
          <w:sz w:val="22"/>
          <w:szCs w:val="22"/>
        </w:rPr>
      </w:pPr>
      <w:r>
        <w:rPr>
          <w:b/>
          <w:bCs/>
          <w:sz w:val="22"/>
          <w:szCs w:val="22"/>
        </w:rPr>
        <w:t>Орг</w:t>
      </w:r>
      <w:r>
        <w:rPr>
          <w:sz w:val="22"/>
          <w:szCs w:val="22"/>
        </w:rPr>
        <w:tab/>
        <w:t>–</w:t>
        <w:tab/>
      </w:r>
      <w:bookmarkStart w:id="400" w:name="_Hlk138342484"/>
      <w:r>
        <w:rPr>
          <w:sz w:val="22"/>
          <w:szCs w:val="22"/>
        </w:rPr>
        <w:t>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400"/>
      <w:r>
        <w:rPr>
          <w:sz w:val="22"/>
          <w:szCs w:val="22"/>
        </w:rPr>
        <w:t xml:space="preserve">; </w:t>
      </w:r>
      <w:bookmarkStart w:id="401" w:name="_Hlk138342546"/>
      <w:r>
        <w:rPr>
          <w:sz w:val="22"/>
          <w:szCs w:val="22"/>
        </w:rPr>
        <w:t xml:space="preserve">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sz w:val="22"/>
          <w:szCs w:val="22"/>
        </w:rPr>
        <w:t>(последние применяется только в случае установления соответствующих требований)</w:t>
      </w:r>
      <w:r>
        <w:rPr>
          <w:sz w:val="22"/>
          <w:szCs w:val="22"/>
        </w:rPr>
        <w:t>; наличие у Участника статуса «аккредитован», либо статуса «аккредитация не требуется» (или наличие заявки на аккредитацию (при необходимости))</w:t>
      </w:r>
      <w:bookmarkEnd w:id="401"/>
      <w:r>
        <w:rPr>
          <w:sz w:val="22"/>
          <w:szCs w:val="22"/>
        </w:rPr>
        <w:t xml:space="preserve">,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при установлении требования об обязательном привлечении к исполнению Договора субподрядчиков (соисполнителей) из числа субъектов МСП – проверка субподрядчиков (соисполнителей), указанных Участником в Плане распределения поставки продукции, на наличие информации о таком субподрядчике (соисполнителе)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w:t>
      </w:r>
      <w:bookmarkStart w:id="402" w:name="_Hlk138342572"/>
      <w:r>
        <w:rPr>
          <w:sz w:val="22"/>
          <w:szCs w:val="22"/>
        </w:rPr>
        <w:t>–</w:t>
      </w:r>
      <w:bookmarkEnd w:id="402"/>
      <w:r>
        <w:rPr>
          <w:sz w:val="22"/>
          <w:szCs w:val="22"/>
        </w:rPr>
        <w:t xml:space="preserve">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1"/>
        <w:tabs>
          <w:tab w:val="clear" w:pos="708"/>
          <w:tab w:val="left" w:pos="1134" w:leader="none"/>
        </w:tabs>
        <w:ind w:hanging="1701" w:left="1701"/>
        <w:rPr>
          <w:rFonts w:ascii="Times New Roman" w:hAnsi="Times New Roman"/>
          <w:sz w:val="22"/>
          <w:szCs w:val="22"/>
        </w:rPr>
      </w:pPr>
      <w:r>
        <w:rPr>
          <w:b/>
          <w:bCs/>
          <w:sz w:val="22"/>
          <w:szCs w:val="22"/>
        </w:rPr>
        <w:t>Тех</w:t>
      </w:r>
      <w:r>
        <w:rPr>
          <w:sz w:val="22"/>
          <w:szCs w:val="22"/>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квалификационным и специальным требованиям; </w:t>
      </w:r>
      <w:bookmarkStart w:id="403" w:name="_Hlk138342998"/>
      <w:r>
        <w:rPr>
          <w:sz w:val="22"/>
          <w:szCs w:val="22"/>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03"/>
      <w:r>
        <w:rPr>
          <w:sz w:val="22"/>
          <w:szCs w:val="22"/>
        </w:rPr>
        <w:t>;</w:t>
      </w:r>
    </w:p>
    <w:p>
      <w:pPr>
        <w:pStyle w:val="Style31"/>
        <w:tabs>
          <w:tab w:val="clear" w:pos="708"/>
          <w:tab w:val="left" w:pos="1134" w:leader="none"/>
        </w:tabs>
        <w:ind w:hanging="1701" w:left="1701"/>
        <w:rPr>
          <w:rFonts w:ascii="Times New Roman" w:hAnsi="Times New Roman"/>
          <w:sz w:val="22"/>
          <w:szCs w:val="22"/>
        </w:rPr>
      </w:pPr>
      <w:r>
        <w:rPr>
          <w:b/>
          <w:bCs/>
          <w:sz w:val="22"/>
          <w:szCs w:val="22"/>
        </w:rPr>
        <w:t>Юр</w:t>
      </w:r>
      <w:r>
        <w:rPr>
          <w:sz w:val="22"/>
          <w:szCs w:val="22"/>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1"/>
        <w:keepNext w:val="true"/>
        <w:tabs>
          <w:tab w:val="clear" w:pos="708"/>
          <w:tab w:val="left" w:pos="1134" w:leader="none"/>
        </w:tabs>
        <w:ind w:hanging="1701" w:left="1701"/>
        <w:rPr>
          <w:rFonts w:ascii="Times New Roman" w:hAnsi="Times New Roman"/>
          <w:sz w:val="22"/>
          <w:szCs w:val="22"/>
        </w:rPr>
      </w:pPr>
      <w:r>
        <w:rPr>
          <w:b/>
          <w:bCs/>
          <w:sz w:val="22"/>
          <w:szCs w:val="22"/>
        </w:rPr>
        <w:t>Цена</w:t>
      </w:r>
      <w:r>
        <w:rPr>
          <w:sz w:val="22"/>
          <w:szCs w:val="22"/>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1"/>
        <w:tabs>
          <w:tab w:val="clear" w:pos="708"/>
          <w:tab w:val="left" w:pos="1134" w:leader="none"/>
        </w:tabs>
        <w:ind w:hanging="1701" w:left="1701"/>
        <w:rPr>
          <w:rFonts w:ascii="Times New Roman" w:hAnsi="Times New Roman"/>
          <w:sz w:val="22"/>
          <w:szCs w:val="22"/>
        </w:rPr>
      </w:pPr>
      <w:r>
        <w:rPr>
          <w:b/>
          <w:bCs/>
          <w:sz w:val="22"/>
          <w:szCs w:val="22"/>
        </w:rPr>
        <w:t>Фин</w:t>
      </w:r>
      <w:r>
        <w:rPr>
          <w:sz w:val="22"/>
          <w:szCs w:val="22"/>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sz w:val="22"/>
          <w:szCs w:val="22"/>
        </w:rPr>
        <w:t>(финансовая экспертиза проводится по инициативе эксперта по направлениям Орг, в случае наличия в заявке банковской гарантии)</w:t>
      </w:r>
      <w:r>
        <w:rPr>
          <w:sz w:val="22"/>
          <w:szCs w:val="22"/>
        </w:rPr>
        <w:t>.</w:t>
      </w:r>
    </w:p>
    <w:p>
      <w:pPr>
        <w:pStyle w:val="Style31"/>
        <w:keepNext w:val="true"/>
        <w:tabs>
          <w:tab w:val="clear" w:pos="708"/>
          <w:tab w:val="left" w:pos="1134" w:leader="none"/>
        </w:tabs>
        <w:ind w:hanging="1701" w:left="1701"/>
        <w:rPr>
          <w:rFonts w:ascii="Times New Roman" w:hAnsi="Times New Roman"/>
          <w:sz w:val="22"/>
          <w:szCs w:val="22"/>
        </w:rPr>
      </w:pPr>
      <w:r>
        <w:rPr>
          <w:sz w:val="22"/>
          <w:szCs w:val="22"/>
        </w:rPr>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31"/>
        <w:rPr>
          <w:rFonts w:ascii="Times New Roman" w:hAnsi="Times New Roman"/>
          <w:sz w:val="22"/>
          <w:szCs w:val="22"/>
        </w:rPr>
      </w:pPr>
      <w:r>
        <w:rPr>
          <w:sz w:val="22"/>
          <w:szCs w:val="22"/>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5"/>
        <w:rPr>
          <w:rFonts w:ascii="Times New Roman" w:hAnsi="Times New Roman"/>
          <w:sz w:val="22"/>
          <w:szCs w:val="22"/>
        </w:rPr>
      </w:pPr>
      <w:bookmarkStart w:id="404" w:name="_Ref125361648"/>
      <w:bookmarkStart w:id="405" w:name="_Ref125361951"/>
      <w:bookmarkStart w:id="406" w:name="_Ref125366013"/>
      <w:bookmarkStart w:id="407" w:name="_Ref125366280"/>
      <w:bookmarkStart w:id="408" w:name="_Ref125366285"/>
      <w:bookmarkStart w:id="409" w:name="_Ref125368140"/>
      <w:bookmarkStart w:id="410" w:name="_Ref125368150"/>
      <w:bookmarkStart w:id="411" w:name="_Ref125368165"/>
      <w:bookmarkStart w:id="412" w:name="_Ref125368172"/>
      <w:bookmarkStart w:id="413" w:name="_Ref125368184"/>
      <w:bookmarkStart w:id="414" w:name="_Ref125368283"/>
      <w:bookmarkStart w:id="415" w:name="_Ref125368291"/>
      <w:bookmarkStart w:id="416" w:name="_Ref125368302"/>
      <w:bookmarkStart w:id="417" w:name="_Ref125368313"/>
      <w:bookmarkStart w:id="418" w:name="_Ref125368331"/>
      <w:bookmarkStart w:id="419" w:name="_Ref125369021"/>
      <w:bookmarkStart w:id="420" w:name="_Ref125369438"/>
      <w:bookmarkStart w:id="421" w:name="_Toc230928889"/>
      <w:bookmarkStart w:id="422" w:name="Прил08_ПорядокОценки"/>
      <w:bookmarkEnd w:id="422"/>
      <w:r>
        <w:rPr>
          <w:sz w:val="22"/>
          <w:szCs w:val="22"/>
        </w:rPr>
        <w:t>Приложение № 8 – Порядок и критерии оценки и сопоставления заявок</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tyle26"/>
        <w:rPr>
          <w:rFonts w:ascii="Times New Roman" w:hAnsi="Times New Roman"/>
          <w:sz w:val="22"/>
          <w:szCs w:val="22"/>
        </w:rPr>
      </w:pPr>
      <w:bookmarkStart w:id="423" w:name="_Toc230928890"/>
      <w:r>
        <w:rPr>
          <w:sz w:val="22"/>
          <w:szCs w:val="22"/>
        </w:rPr>
        <w:t>Порядок и критерии оценки и сопоставления заявок</w:t>
      </w:r>
      <w:bookmarkEnd w:id="423"/>
    </w:p>
    <w:p>
      <w:pPr>
        <w:pStyle w:val="Style27"/>
        <w:rPr>
          <w:rFonts w:ascii="Times New Roman" w:hAnsi="Times New Roman"/>
          <w:sz w:val="22"/>
          <w:szCs w:val="22"/>
        </w:rPr>
      </w:pPr>
      <w:r>
        <w:rPr>
          <w:sz w:val="22"/>
          <w:szCs w:val="22"/>
        </w:rPr>
        <w:t>Расчет итоговой оценки предпочтительности каждой заявки, успешно прошедшей отборочную стадию (подраздел </w:t>
      </w:r>
      <w:r>
        <w:rPr>
          <w:sz w:val="22"/>
          <w:szCs w:val="22"/>
        </w:rPr>
        <w:fldChar w:fldCharType="begin"/>
      </w:r>
      <w:r>
        <w:rPr>
          <w:sz w:val="22"/>
          <w:szCs w:val="22"/>
        </w:rPr>
        <w:instrText xml:space="preserve"> REF _Ref125362364 \w \h </w:instrText>
      </w:r>
      <w:r>
        <w:rPr>
          <w:sz w:val="22"/>
          <w:szCs w:val="22"/>
        </w:rPr>
        <w:fldChar w:fldCharType="separate"/>
      </w:r>
      <w:r>
        <w:rPr>
          <w:sz w:val="22"/>
          <w:szCs w:val="22"/>
        </w:rPr>
        <w:t>4.9</w:t>
      </w:r>
      <w:r>
        <w:rPr>
          <w:sz w:val="22"/>
          <w:szCs w:val="22"/>
        </w:rPr>
        <w:fldChar w:fldCharType="end"/>
      </w:r>
      <w:r>
        <w:rPr>
          <w:sz w:val="22"/>
          <w:szCs w:val="22"/>
        </w:rPr>
        <w:t>),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7"/>
        <w:numPr>
          <w:ilvl w:val="0"/>
          <w:numId w:val="0"/>
        </w:numPr>
        <w:ind w:hanging="0" w:left="1134"/>
        <w:rPr>
          <w:rFonts w:ascii="Times New Roman" w:hAnsi="Times New Roman"/>
          <w:sz w:val="22"/>
          <w:szCs w:val="22"/>
        </w:rPr>
      </w:pPr>
      <w:r>
        <w:rPr>
          <w:sz w:val="22"/>
          <w:szCs w:val="22"/>
        </w:rPr>
      </w:r>
    </w:p>
    <w:tbl>
      <w:tblPr>
        <w:tblStyle w:val="af6"/>
        <w:tblW w:w="14067"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049"/>
        <w:gridCol w:w="1350"/>
        <w:gridCol w:w="1317"/>
        <w:gridCol w:w="733"/>
        <w:gridCol w:w="1068"/>
        <w:gridCol w:w="1865"/>
        <w:gridCol w:w="6684"/>
      </w:tblGrid>
      <w:tr>
        <w:trPr>
          <w:cnfStyle w:val="100000000000" w:firstRow="1" w:lastRow="0" w:firstColumn="0" w:lastColumn="0" w:oddVBand="0" w:evenVBand="0" w:oddHBand="0" w:evenHBand="0" w:firstRowFirstColumn="0" w:firstRowLastColumn="0" w:lastRowFirstColumn="0" w:lastRowLastColumn="0"/>
        </w:trPr>
        <w:tc>
          <w:tcPr>
            <w:tcW w:w="1049" w:type="dxa"/>
            <w:vMerge w:val="restart"/>
            <w:tcBorders/>
          </w:tcPr>
          <w:p>
            <w:pPr>
              <w:pStyle w:val="Style31"/>
              <w:keepNext w:val="true"/>
              <w:keepLines w:val="false"/>
              <w:widowControl/>
              <w:suppressAutoHyphens w:val="true"/>
              <w:spacing w:before="40" w:after="40"/>
              <w:jc w:val="center"/>
              <w:rPr>
                <w:rFonts w:ascii="Times New Roman" w:hAnsi="Times New Roman"/>
                <w:sz w:val="22"/>
                <w:szCs w:val="22"/>
              </w:rPr>
            </w:pPr>
            <w:r>
              <w:rPr>
                <w:rFonts w:eastAsia="Calibri" w:cs=""/>
                <w:b/>
                <w:kern w:val="0"/>
                <w:sz w:val="22"/>
                <w:szCs w:val="22"/>
                <w:lang w:val="ru-RU" w:eastAsia="en-US" w:bidi="ar-SA"/>
              </w:rPr>
              <w:t>Номер критерия оценки в</w:t>
            </w:r>
            <w:r>
              <w:rPr>
                <w:rFonts w:eastAsia="Calibri" w:cs=""/>
                <w:b/>
                <w:kern w:val="0"/>
                <w:sz w:val="22"/>
                <w:szCs w:val="22"/>
                <w:lang w:val="en-US" w:eastAsia="en-US" w:bidi="ar-SA"/>
              </w:rPr>
              <w:t> </w:t>
            </w:r>
            <w:r>
              <w:rPr>
                <w:rFonts w:eastAsia="Calibri" w:cs=""/>
                <w:b/>
                <w:kern w:val="0"/>
                <w:sz w:val="22"/>
                <w:szCs w:val="22"/>
                <w:lang w:val="ru-RU" w:eastAsia="en-US" w:bidi="ar-SA"/>
              </w:rPr>
              <w:t>структуре</w:t>
            </w:r>
          </w:p>
        </w:tc>
        <w:tc>
          <w:tcPr>
            <w:tcW w:w="1350" w:type="dxa"/>
            <w:vMerge w:val="restart"/>
            <w:tcBorders/>
          </w:tcPr>
          <w:p>
            <w:pPr>
              <w:pStyle w:val="Style31"/>
              <w:keepNext w:val="true"/>
              <w:keepLines w:val="false"/>
              <w:widowControl/>
              <w:suppressAutoHyphens w:val="true"/>
              <w:spacing w:before="40" w:after="40"/>
              <w:jc w:val="center"/>
              <w:rPr>
                <w:rFonts w:ascii="Times New Roman" w:hAnsi="Times New Roman"/>
                <w:sz w:val="22"/>
                <w:szCs w:val="22"/>
              </w:rPr>
            </w:pPr>
            <w:r>
              <w:rPr>
                <w:rFonts w:eastAsia="Calibri" w:cs=""/>
                <w:b/>
                <w:kern w:val="0"/>
                <w:sz w:val="22"/>
                <w:szCs w:val="22"/>
                <w:lang w:val="ru-RU" w:eastAsia="en-US" w:bidi="ar-SA"/>
              </w:rPr>
              <w:t>Вид критерия оценки / направление оценки заявок</w:t>
            </w:r>
          </w:p>
        </w:tc>
        <w:tc>
          <w:tcPr>
            <w:tcW w:w="2050" w:type="dxa"/>
            <w:gridSpan w:val="2"/>
            <w:tcBorders/>
          </w:tcPr>
          <w:p>
            <w:pPr>
              <w:pStyle w:val="Style31"/>
              <w:keepNext w:val="true"/>
              <w:keepLines w:val="false"/>
              <w:widowControl/>
              <w:suppressAutoHyphens w:val="true"/>
              <w:spacing w:before="40" w:after="40"/>
              <w:jc w:val="center"/>
              <w:rPr>
                <w:rFonts w:ascii="Times New Roman" w:hAnsi="Times New Roman"/>
                <w:sz w:val="22"/>
                <w:szCs w:val="22"/>
              </w:rPr>
            </w:pPr>
            <w:r>
              <w:rPr>
                <w:rFonts w:eastAsia="Calibri" w:cs=""/>
                <w:b/>
                <w:kern w:val="0"/>
                <w:sz w:val="22"/>
                <w:szCs w:val="22"/>
                <w:lang w:val="ru-RU" w:eastAsia="en-US" w:bidi="ar-SA"/>
              </w:rPr>
              <w:t>Наименование критерия оценки</w:t>
            </w:r>
          </w:p>
        </w:tc>
        <w:tc>
          <w:tcPr>
            <w:tcW w:w="1068" w:type="dxa"/>
            <w:vMerge w:val="restart"/>
            <w:tcBorders/>
          </w:tcPr>
          <w:p>
            <w:pPr>
              <w:pStyle w:val="Style31"/>
              <w:keepNext w:val="true"/>
              <w:keepLines w:val="false"/>
              <w:widowControl/>
              <w:suppressAutoHyphens w:val="true"/>
              <w:spacing w:before="40" w:after="40"/>
              <w:jc w:val="center"/>
              <w:rPr>
                <w:rFonts w:ascii="Times New Roman" w:hAnsi="Times New Roman"/>
                <w:sz w:val="22"/>
                <w:szCs w:val="22"/>
              </w:rPr>
            </w:pPr>
            <w:r>
              <w:rPr>
                <w:rFonts w:eastAsia="Calibri" w:cs=""/>
                <w:b/>
                <w:kern w:val="0"/>
                <w:sz w:val="22"/>
                <w:szCs w:val="22"/>
                <w:lang w:val="ru-RU" w:eastAsia="en-US" w:bidi="ar-SA"/>
              </w:rPr>
              <w:t>Значимость</w:t>
              <w:br/>
              <w:t>критерия оценки</w:t>
            </w:r>
          </w:p>
        </w:tc>
        <w:tc>
          <w:tcPr>
            <w:tcW w:w="1865" w:type="dxa"/>
            <w:vMerge w:val="restart"/>
            <w:tcBorders/>
          </w:tcPr>
          <w:p>
            <w:pPr>
              <w:pStyle w:val="Style31"/>
              <w:keepNext w:val="true"/>
              <w:keepLines w:val="false"/>
              <w:widowControl/>
              <w:suppressAutoHyphens w:val="true"/>
              <w:spacing w:before="40" w:after="40"/>
              <w:jc w:val="center"/>
              <w:rPr>
                <w:rFonts w:ascii="Times New Roman" w:hAnsi="Times New Roman"/>
                <w:sz w:val="22"/>
                <w:szCs w:val="22"/>
              </w:rPr>
            </w:pPr>
            <w:r>
              <w:rPr>
                <w:rFonts w:eastAsia="Calibri" w:cs=""/>
                <w:b/>
                <w:kern w:val="0"/>
                <w:sz w:val="22"/>
                <w:szCs w:val="22"/>
                <w:lang w:val="ru-RU" w:eastAsia="en-US" w:bidi="ar-SA"/>
              </w:rPr>
              <w:t>Содержание частного критерия оценки</w:t>
            </w:r>
          </w:p>
        </w:tc>
        <w:tc>
          <w:tcPr>
            <w:tcW w:w="6684" w:type="dxa"/>
            <w:vMerge w:val="restart"/>
            <w:tcBorders/>
          </w:tcPr>
          <w:p>
            <w:pPr>
              <w:pStyle w:val="Style31"/>
              <w:keepNext w:val="true"/>
              <w:keepLines w:val="false"/>
              <w:widowControl/>
              <w:suppressAutoHyphens w:val="true"/>
              <w:spacing w:before="40" w:after="40"/>
              <w:jc w:val="center"/>
              <w:rPr>
                <w:rFonts w:ascii="Times New Roman" w:hAnsi="Times New Roman"/>
                <w:sz w:val="22"/>
                <w:szCs w:val="22"/>
              </w:rPr>
            </w:pPr>
            <w:r>
              <w:rPr>
                <w:rFonts w:eastAsia="Calibri" w:cs=""/>
                <w:b/>
                <w:kern w:val="0"/>
                <w:sz w:val="22"/>
                <w:szCs w:val="22"/>
                <w:lang w:val="ru-RU" w:eastAsia="en-US" w:bidi="ar-SA"/>
              </w:rPr>
              <w:t>Расчет оценки предпочтительности заявки</w:t>
            </w:r>
          </w:p>
        </w:tc>
      </w:tr>
      <w:tr>
        <w:trPr/>
        <w:tc>
          <w:tcPr>
            <w:tcW w:w="1049" w:type="dxa"/>
            <w:vMerge w:val="continue"/>
            <w:tcBorders/>
          </w:tcPr>
          <w:p>
            <w:pPr>
              <w:pStyle w:val="Style31"/>
              <w:widowControl/>
              <w:suppressAutoHyphens w:val="true"/>
              <w:spacing w:before="40" w:after="40"/>
              <w:jc w:val="center"/>
              <w:rPr>
                <w:rFonts w:ascii="Times New Roman" w:hAnsi="Times New Roman"/>
                <w:sz w:val="22"/>
                <w:szCs w:val="22"/>
              </w:rPr>
            </w:pPr>
            <w:r>
              <w:rPr>
                <w:sz w:val="22"/>
                <w:szCs w:val="22"/>
              </w:rPr>
            </w:r>
          </w:p>
        </w:tc>
        <w:tc>
          <w:tcPr>
            <w:tcW w:w="1350" w:type="dxa"/>
            <w:vMerge w:val="continue"/>
            <w:tcBorders/>
          </w:tcPr>
          <w:p>
            <w:pPr>
              <w:pStyle w:val="Style31"/>
              <w:widowControl/>
              <w:suppressAutoHyphens w:val="true"/>
              <w:spacing w:before="40" w:after="40"/>
              <w:jc w:val="center"/>
              <w:rPr>
                <w:rFonts w:ascii="Times New Roman" w:hAnsi="Times New Roman"/>
                <w:sz w:val="22"/>
                <w:szCs w:val="22"/>
              </w:rPr>
            </w:pPr>
            <w:r>
              <w:rPr>
                <w:sz w:val="22"/>
                <w:szCs w:val="22"/>
              </w:rPr>
            </w:r>
          </w:p>
        </w:tc>
        <w:tc>
          <w:tcPr>
            <w:tcW w:w="1317" w:type="dxa"/>
            <w:tcBorders/>
          </w:tcPr>
          <w:p>
            <w:pPr>
              <w:pStyle w:val="Style31"/>
              <w:widowControl/>
              <w:suppressAutoHyphens w:val="true"/>
              <w:spacing w:before="40" w:after="40"/>
              <w:jc w:val="center"/>
              <w:rPr>
                <w:rFonts w:ascii="Times New Roman" w:hAnsi="Times New Roman"/>
                <w:sz w:val="22"/>
                <w:szCs w:val="22"/>
              </w:rPr>
            </w:pPr>
            <w:r>
              <w:rPr>
                <w:sz w:val="22"/>
                <w:szCs w:val="22"/>
              </w:rPr>
            </w:r>
          </w:p>
        </w:tc>
        <w:tc>
          <w:tcPr>
            <w:tcW w:w="733" w:type="dxa"/>
            <w:tcBorders/>
          </w:tcPr>
          <w:p>
            <w:pPr>
              <w:pStyle w:val="Style31"/>
              <w:widowControl/>
              <w:suppressAutoHyphens w:val="true"/>
              <w:spacing w:before="40" w:after="40"/>
              <w:jc w:val="center"/>
              <w:rPr>
                <w:rFonts w:ascii="Times New Roman" w:hAnsi="Times New Roman"/>
                <w:sz w:val="22"/>
                <w:szCs w:val="22"/>
              </w:rPr>
            </w:pPr>
            <w:r>
              <w:rPr>
                <w:sz w:val="22"/>
                <w:szCs w:val="22"/>
              </w:rPr>
            </w:r>
          </w:p>
        </w:tc>
        <w:tc>
          <w:tcPr>
            <w:tcW w:w="1068" w:type="dxa"/>
            <w:vMerge w:val="continue"/>
            <w:tcBorders/>
          </w:tcPr>
          <w:p>
            <w:pPr>
              <w:pStyle w:val="Style31"/>
              <w:widowControl/>
              <w:suppressAutoHyphens w:val="true"/>
              <w:spacing w:before="40" w:after="40"/>
              <w:jc w:val="center"/>
              <w:rPr>
                <w:rFonts w:ascii="Times New Roman" w:hAnsi="Times New Roman"/>
                <w:sz w:val="22"/>
                <w:szCs w:val="22"/>
              </w:rPr>
            </w:pPr>
            <w:r>
              <w:rPr>
                <w:sz w:val="22"/>
                <w:szCs w:val="22"/>
              </w:rPr>
            </w:r>
          </w:p>
        </w:tc>
        <w:tc>
          <w:tcPr>
            <w:tcW w:w="1865" w:type="dxa"/>
            <w:vMerge w:val="continue"/>
            <w:tcBorders/>
          </w:tcPr>
          <w:p>
            <w:pPr>
              <w:pStyle w:val="Style31"/>
              <w:widowControl/>
              <w:suppressAutoHyphens w:val="true"/>
              <w:spacing w:before="40" w:after="40"/>
              <w:jc w:val="center"/>
              <w:rPr>
                <w:rFonts w:ascii="Times New Roman" w:hAnsi="Times New Roman"/>
                <w:sz w:val="22"/>
                <w:szCs w:val="22"/>
              </w:rPr>
            </w:pPr>
            <w:r>
              <w:rPr>
                <w:sz w:val="22"/>
                <w:szCs w:val="22"/>
              </w:rPr>
            </w:r>
          </w:p>
        </w:tc>
        <w:tc>
          <w:tcPr>
            <w:tcW w:w="6684" w:type="dxa"/>
            <w:vMerge w:val="continue"/>
            <w:tcBorders/>
          </w:tcPr>
          <w:p>
            <w:pPr>
              <w:pStyle w:val="Style31"/>
              <w:widowControl/>
              <w:suppressAutoHyphens w:val="true"/>
              <w:spacing w:before="40" w:after="40"/>
              <w:jc w:val="center"/>
              <w:rPr>
                <w:rFonts w:ascii="Times New Roman" w:hAnsi="Times New Roman"/>
                <w:sz w:val="22"/>
                <w:szCs w:val="22"/>
              </w:rPr>
            </w:pPr>
            <w:r>
              <w:rPr>
                <w:sz w:val="22"/>
                <w:szCs w:val="22"/>
              </w:rPr>
            </w:r>
          </w:p>
        </w:tc>
      </w:tr>
      <w:tr>
        <w:trPr>
          <w:trHeight w:val="4459" w:hRule="atLeast"/>
        </w:trPr>
        <w:tc>
          <w:tcPr>
            <w:tcW w:w="1049" w:type="dxa"/>
            <w:tcBorders>
              <w:top w:val="nil"/>
            </w:tcBorders>
          </w:tcPr>
          <w:p>
            <w:pPr>
              <w:pStyle w:val="3"/>
              <w:widowControl w:val="false"/>
              <w:numPr>
                <w:ilvl w:val="0"/>
                <w:numId w:val="0"/>
              </w:numPr>
              <w:suppressAutoHyphens w:val="true"/>
              <w:bidi w:val="0"/>
              <w:spacing w:lineRule="auto" w:line="240" w:before="0" w:after="0"/>
              <w:ind w:hanging="0" w:left="283" w:right="0"/>
              <w:contextualSpacing/>
              <w:jc w:val="center"/>
              <w:rPr/>
            </w:pPr>
            <w:r>
              <w:rPr/>
              <w:t>1.</w:t>
            </w:r>
          </w:p>
        </w:tc>
        <w:tc>
          <w:tcPr>
            <w:tcW w:w="1350" w:type="dxa"/>
            <w:tcBorders>
              <w:top w:val="nil"/>
            </w:tcBorders>
          </w:tcPr>
          <w:p>
            <w:pPr>
              <w:pStyle w:val="3"/>
              <w:widowControl w:val="false"/>
              <w:numPr>
                <w:ilvl w:val="0"/>
                <w:numId w:val="0"/>
              </w:numPr>
              <w:suppressAutoHyphens w:val="true"/>
              <w:bidi w:val="0"/>
              <w:spacing w:lineRule="auto" w:line="240" w:beforeAutospacing="0" w:before="0" w:afterAutospacing="0" w:after="0"/>
              <w:ind w:hanging="0" w:left="227" w:right="0"/>
              <w:contextualSpacing/>
              <w:jc w:val="center"/>
              <w:rPr>
                <w:sz w:val="18"/>
                <w:szCs w:val="18"/>
              </w:rPr>
            </w:pPr>
            <w:r>
              <w:rPr>
                <w:rFonts w:eastAsia="Times New Roman" w:cs=""/>
                <w:kern w:val="0"/>
                <w:sz w:val="18"/>
                <w:szCs w:val="18"/>
                <w:lang w:val="ru-RU" w:eastAsia="ru-RU" w:bidi="ar-SA"/>
              </w:rPr>
              <w:t>Ценовой (стоимостный) частный критерий оценки первого уровня / ЦЕНА</w:t>
            </w:r>
          </w:p>
        </w:tc>
        <w:tc>
          <w:tcPr>
            <w:tcW w:w="1317" w:type="dxa"/>
            <w:tcBorders>
              <w:top w:val="nil"/>
            </w:tcBorders>
          </w:tcPr>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Цена договора</w:t>
            </w:r>
          </w:p>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(заявки)</w:t>
            </w:r>
          </w:p>
        </w:tc>
        <w:tc>
          <w:tcPr>
            <w:tcW w:w="733" w:type="dxa"/>
            <w:tcBorders>
              <w:top w:val="nil"/>
            </w:tcBorders>
          </w:tcPr>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отсутствует</w:t>
            </w:r>
          </w:p>
        </w:tc>
        <w:tc>
          <w:tcPr>
            <w:tcW w:w="1068" w:type="dxa"/>
            <w:tcBorders>
              <w:top w:val="nil"/>
            </w:tcBorders>
          </w:tcPr>
          <w:p>
            <w:pPr>
              <w:pStyle w:val="3"/>
              <w:widowControl w:val="false"/>
              <w:numPr>
                <w:ilvl w:val="0"/>
                <w:numId w:val="0"/>
              </w:numPr>
              <w:suppressAutoHyphens w:val="true"/>
              <w:bidi w:val="0"/>
              <w:spacing w:lineRule="auto" w:line="240" w:beforeAutospacing="0" w:before="0" w:afterAutospacing="0" w:after="0"/>
              <w:ind w:hanging="0" w:left="113" w:right="0"/>
              <w:contextualSpacing/>
              <w:jc w:val="center"/>
              <w:rPr>
                <w:sz w:val="18"/>
                <w:szCs w:val="18"/>
              </w:rPr>
            </w:pPr>
            <w:r>
              <w:rPr>
                <w:rFonts w:eastAsia="Times New Roman" w:cs=""/>
                <w:kern w:val="0"/>
                <w:sz w:val="18"/>
                <w:szCs w:val="18"/>
                <w:lang w:val="ru-RU" w:eastAsia="ru-RU" w:bidi="ar-SA"/>
              </w:rPr>
              <w:t>90%</w:t>
              <w:br/>
              <w:t>(В</w:t>
            </w:r>
            <w:r>
              <w:rPr>
                <w:rFonts w:eastAsia="Times New Roman" w:cs=""/>
                <w:kern w:val="0"/>
                <w:sz w:val="18"/>
                <w:szCs w:val="18"/>
                <w:vertAlign w:val="subscript"/>
                <w:lang w:val="ru-RU" w:eastAsia="ru-RU" w:bidi="ar-SA"/>
              </w:rPr>
              <w:t>1</w:t>
            </w:r>
            <w:r>
              <w:rPr>
                <w:rFonts w:eastAsia="Times New Roman" w:cs=""/>
                <w:kern w:val="0"/>
                <w:sz w:val="18"/>
                <w:szCs w:val="18"/>
                <w:lang w:val="ru-RU" w:eastAsia="ru-RU" w:bidi="ar-SA"/>
              </w:rPr>
              <w:t xml:space="preserve"> = 0,90)</w:t>
            </w:r>
          </w:p>
        </w:tc>
        <w:tc>
          <w:tcPr>
            <w:tcW w:w="1865" w:type="dxa"/>
            <w:tcBorders>
              <w:top w:val="nil"/>
            </w:tcBorders>
          </w:tcPr>
          <w:p>
            <w:pPr>
              <w:pStyle w:val="Style31"/>
              <w:widowControl/>
              <w:suppressAutoHyphens w:val="true"/>
              <w:spacing w:before="40" w:after="40"/>
              <w:jc w:val="left"/>
              <w:rPr>
                <w:rFonts w:ascii="Times New Roman" w:hAnsi="Times New Roman"/>
                <w:sz w:val="22"/>
                <w:szCs w:val="22"/>
              </w:rPr>
            </w:pPr>
            <w:r>
              <w:rPr>
                <w:rFonts w:eastAsia="Calibri" w:cs=""/>
                <w:kern w:val="0"/>
                <w:sz w:val="22"/>
                <w:szCs w:val="22"/>
                <w:lang w:val="ru-RU" w:eastAsia="en-US" w:bidi="ar-SA"/>
              </w:rPr>
              <w:t>Ч</w:t>
            </w:r>
            <w:r>
              <w:rPr>
                <w:rFonts w:eastAsia="Times New Roman" w:cs=""/>
                <w:kern w:val="0"/>
                <w:sz w:val="18"/>
                <w:szCs w:val="18"/>
                <w:lang w:val="ru-RU" w:eastAsia="ru-RU" w:bidi="ar-SA"/>
              </w:rPr>
              <w:t>ем меньше цена заявки Участника, тем выше предпочтительность</w:t>
            </w:r>
          </w:p>
        </w:tc>
        <w:tc>
          <w:tcPr>
            <w:tcW w:w="6684" w:type="dxa"/>
            <w:tcBorders>
              <w:top w:val="nil"/>
            </w:tcBorders>
          </w:tcPr>
          <w:p>
            <w:pPr>
              <w:pStyle w:val="Style31"/>
              <w:widowControl/>
              <w:suppressAutoHyphens w:val="true"/>
              <w:spacing w:before="40" w:after="40"/>
              <w:jc w:val="left"/>
              <w:rPr>
                <w:rFonts w:ascii="Times New Roman" w:hAnsi="Times New Roman"/>
                <w:sz w:val="22"/>
                <w:szCs w:val="22"/>
              </w:rPr>
            </w:pPr>
            <w:r>
              <w:rPr>
                <w:rFonts w:eastAsia="Times New Roman" w:cs=""/>
                <w:kern w:val="0"/>
                <w:sz w:val="18"/>
                <w:szCs w:val="18"/>
                <w:lang w:val="ru-RU" w:eastAsia="ru-RU" w:bidi="ar-SA"/>
              </w:rPr>
              <w:t>Расчет оценки предпочтительности по частному критерию по методу «Математическая формула, задающая «функцию ценности»»:</w:t>
            </w:r>
          </w:p>
          <w:p>
            <w:pPr>
              <w:pStyle w:val="Style31"/>
              <w:widowControl/>
              <w:suppressAutoHyphens w:val="true"/>
              <w:spacing w:before="40" w:after="40"/>
              <w:jc w:val="left"/>
              <w:rPr>
                <w:rFonts w:ascii="Times New Roman" w:hAnsi="Times New Roman"/>
                <w:sz w:val="22"/>
                <w:szCs w:val="22"/>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2"/>
              <w:widowControl w:val="false"/>
              <w:numPr>
                <w:ilvl w:val="0"/>
                <w:numId w:val="0"/>
              </w:numPr>
              <w:spacing w:lineRule="auto" w:line="240" w:beforeAutospacing="0" w:before="0" w:afterAutospacing="0" w:after="0"/>
              <w:ind w:hanging="0" w:left="0"/>
              <w:contextualSpacing/>
              <w:jc w:val="left"/>
              <w:rPr>
                <w:sz w:val="18"/>
                <w:szCs w:val="18"/>
              </w:rPr>
            </w:pPr>
            <w:r>
              <w:rPr>
                <w:rFonts w:eastAsia="Times New Roman"/>
                <w:sz w:val="18"/>
                <w:szCs w:val="18"/>
                <w:lang w:eastAsia="ru-RU"/>
              </w:rPr>
              <w:t>где:</w:t>
            </w:r>
          </w:p>
          <w:p>
            <w:pPr>
              <w:pStyle w:val="2"/>
              <w:widowControl w:val="false"/>
              <w:numPr>
                <w:ilvl w:val="0"/>
                <w:numId w:val="0"/>
              </w:numPr>
              <w:tabs>
                <w:tab w:val="clear" w:pos="708"/>
                <w:tab w:val="left" w:pos="742" w:leader="none"/>
                <w:tab w:val="left" w:pos="1167" w:leader="none"/>
              </w:tabs>
              <w:spacing w:lineRule="auto" w:line="240" w:beforeAutospacing="0" w:before="0" w:afterAutospacing="0" w:after="0"/>
              <w:ind w:hanging="0" w:left="0"/>
              <w:contextualSpacing/>
              <w:rPr>
                <w:sz w:val="18"/>
                <w:szCs w:val="18"/>
              </w:rPr>
            </w:pPr>
            <w:r>
              <w:rPr>
                <w:rFonts w:eastAsia="Times New Roman"/>
                <w:sz w:val="18"/>
                <w:szCs w:val="18"/>
                <w:lang w:eastAsia="ru-RU"/>
              </w:rPr>
              <w:t>Б</w:t>
            </w:r>
            <w:r>
              <w:rPr>
                <w:rFonts w:eastAsia="Times New Roman"/>
                <w:sz w:val="18"/>
                <w:szCs w:val="18"/>
                <w:vertAlign w:val="subscript"/>
                <w:lang w:eastAsia="ru-RU"/>
              </w:rPr>
              <w:t>1</w:t>
            </w:r>
            <w:r>
              <w:rPr>
                <w:rFonts w:eastAsia="Times New Roman"/>
                <w:sz w:val="18"/>
                <w:szCs w:val="18"/>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40" w:beforeAutospacing="0" w:before="0" w:afterAutospacing="0" w:after="0"/>
              <w:jc w:val="both"/>
              <w:rPr>
                <w:rFonts w:ascii="Times New Roman" w:hAnsi="Times New Roman" w:cs="Times New Roman"/>
                <w:sz w:val="18"/>
                <w:szCs w:val="18"/>
              </w:rPr>
            </w:pPr>
            <w:r>
              <w:rPr>
                <w:rFonts w:eastAsia="Times New Roman" w:cs="Times New Roman"/>
                <w:sz w:val="18"/>
                <w:szCs w:val="18"/>
              </w:rPr>
              <w:t>ЦЕНА</w:t>
            </w:r>
            <w:r>
              <w:rPr>
                <w:rFonts w:eastAsia="Times New Roman" w:cs="Times New Roman"/>
                <w:i/>
                <w:iCs/>
                <w:sz w:val="18"/>
                <w:szCs w:val="18"/>
                <w:vertAlign w:val="subscript"/>
                <w:lang w:val="en-US"/>
              </w:rPr>
              <w:t>i</w:t>
            </w:r>
            <w:r>
              <w:rPr>
                <w:rFonts w:eastAsia="Times New Roman" w:cs="Times New Roman"/>
                <w:sz w:val="18"/>
                <w:szCs w:val="18"/>
              </w:rPr>
              <w:t xml:space="preserve">  – цена договора (заявки), указанная в </w:t>
            </w:r>
            <w:r>
              <w:rPr>
                <w:rFonts w:eastAsia="Times New Roman" w:cs="Times New Roman"/>
                <w:sz w:val="18"/>
                <w:szCs w:val="18"/>
                <w:lang w:val="en-US"/>
              </w:rPr>
              <w:t>i</w:t>
            </w:r>
            <w:r>
              <w:rPr>
                <w:rFonts w:eastAsia="Times New Roman" w:cs="Times New Roman"/>
                <w:sz w:val="18"/>
                <w:szCs w:val="18"/>
              </w:rPr>
              <w:t>-той заявке (в Коммерческом предложении по установленной в Документации о закупке форме) допущенного Участника, руб. без учета НДС ;</w:t>
            </w:r>
          </w:p>
          <w:p>
            <w:pPr>
              <w:pStyle w:val="Normal"/>
              <w:widowControl w:val="false"/>
              <w:spacing w:lineRule="auto" w:line="240" w:beforeAutospacing="0" w:before="0" w:afterAutospacing="0" w:after="0"/>
              <w:jc w:val="both"/>
              <w:rPr>
                <w:rFonts w:ascii="Times New Roman" w:hAnsi="Times New Roman" w:cs="Times New Roman"/>
                <w:sz w:val="18"/>
                <w:szCs w:val="18"/>
              </w:rPr>
            </w:pPr>
            <w:r>
              <w:rPr>
                <w:rFonts w:eastAsia="Times New Roman" w:cs="Times New Roman"/>
                <w:sz w:val="18"/>
                <w:szCs w:val="18"/>
              </w:rPr>
              <w:t>ЦЕНА</w:t>
            </w:r>
            <w:r>
              <w:rPr>
                <w:rFonts w:eastAsia="Times New Roman" w:cs="Times New Roman"/>
                <w:sz w:val="18"/>
                <w:szCs w:val="18"/>
                <w:vertAlign w:val="subscript"/>
                <w:lang w:val="en-US"/>
              </w:rPr>
              <w:t>min</w:t>
            </w:r>
            <w:r>
              <w:rPr>
                <w:rFonts w:eastAsia="Times New Roman" w:cs="Times New Roman"/>
                <w:sz w:val="18"/>
                <w:szCs w:val="18"/>
                <w:vertAlign w:val="subscript"/>
              </w:rPr>
              <w:t xml:space="preserve"> </w:t>
            </w:r>
            <w:r>
              <w:rPr>
                <w:rFonts w:eastAsia="Times New Roman" w:cs="Times New Roman"/>
                <w:sz w:val="18"/>
                <w:szCs w:val="18"/>
              </w:rPr>
              <w:t>– минимальная цена договора (заявки) среди всех допущенных заявок Участников, руб. без учета НДС;</w:t>
            </w:r>
          </w:p>
          <w:p>
            <w:pPr>
              <w:pStyle w:val="2"/>
              <w:widowControl w:val="false"/>
              <w:numPr>
                <w:ilvl w:val="0"/>
                <w:numId w:val="0"/>
              </w:numPr>
              <w:tabs>
                <w:tab w:val="clear" w:pos="708"/>
                <w:tab w:val="left" w:pos="742" w:leader="none"/>
                <w:tab w:val="left" w:pos="1167" w:leader="none"/>
              </w:tabs>
              <w:suppressAutoHyphens w:val="true"/>
              <w:bidi w:val="0"/>
              <w:spacing w:lineRule="auto" w:line="240" w:beforeAutospacing="0" w:before="0" w:afterAutospacing="0" w:after="0"/>
              <w:ind w:hanging="0" w:left="57" w:right="1361"/>
              <w:contextualSpacing/>
              <w:jc w:val="both"/>
              <w:rPr>
                <w:sz w:val="18"/>
                <w:szCs w:val="18"/>
              </w:rPr>
            </w:pPr>
            <w:r>
              <w:rPr>
                <w:rFonts w:eastAsia="Times New Roman"/>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
              <w:widowControl w:val="false"/>
              <w:numPr>
                <w:ilvl w:val="0"/>
                <w:numId w:val="0"/>
              </w:numPr>
              <w:suppressAutoHyphens w:val="true"/>
              <w:bidi w:val="0"/>
              <w:spacing w:lineRule="auto" w:line="240" w:beforeAutospacing="0" w:before="0" w:afterAutospacing="0" w:after="0"/>
              <w:ind w:hanging="0" w:left="113" w:right="113"/>
              <w:contextualSpacing/>
              <w:jc w:val="both"/>
              <w:rPr>
                <w:sz w:val="18"/>
                <w:szCs w:val="18"/>
              </w:rPr>
            </w:pPr>
            <w:r>
              <w:rPr>
                <w:rFonts w:eastAsia="Times New Roman"/>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eastAsia="Times New Roman"/>
                <w:color w:val="000000"/>
                <w:sz w:val="18"/>
                <w:szCs w:val="18"/>
                <w:lang w:eastAsia="ru-RU"/>
              </w:rPr>
              <w:t>.</w:t>
            </w:r>
          </w:p>
          <w:p>
            <w:pPr>
              <w:pStyle w:val="2"/>
              <w:widowControl w:val="false"/>
              <w:numPr>
                <w:ilvl w:val="0"/>
                <w:numId w:val="0"/>
              </w:numPr>
              <w:tabs>
                <w:tab w:val="clear" w:pos="708"/>
                <w:tab w:val="left" w:pos="742" w:leader="none"/>
                <w:tab w:val="left" w:pos="1167" w:leader="none"/>
              </w:tabs>
              <w:suppressAutoHyphens w:val="true"/>
              <w:bidi w:val="0"/>
              <w:spacing w:lineRule="auto" w:line="240" w:beforeAutospacing="0" w:before="0" w:afterAutospacing="0" w:after="0"/>
              <w:ind w:hanging="0" w:left="57" w:right="1361"/>
              <w:contextualSpacing/>
              <w:jc w:val="both"/>
              <w:rPr>
                <w:sz w:val="18"/>
                <w:szCs w:val="18"/>
              </w:rPr>
            </w:pPr>
            <w:r>
              <w:rPr>
                <w:rFonts w:eastAsia="Times New Roman" w:cs=""/>
                <w:kern w:val="0"/>
                <w:sz w:val="18"/>
                <w:szCs w:val="18"/>
                <w:lang w:val="ru-RU" w:eastAsia="ru-RU" w:bidi="ar-SA"/>
              </w:rPr>
              <w:t>Шкала оценок от 0 до 5 баллов.</w:t>
            </w:r>
          </w:p>
          <w:p>
            <w:pPr>
              <w:pStyle w:val="2"/>
              <w:widowControl w:val="false"/>
              <w:numPr>
                <w:ilvl w:val="0"/>
                <w:numId w:val="0"/>
              </w:numPr>
              <w:tabs>
                <w:tab w:val="clear" w:pos="708"/>
                <w:tab w:val="left" w:pos="742" w:leader="none"/>
                <w:tab w:val="left" w:pos="1167" w:leader="none"/>
              </w:tabs>
              <w:suppressAutoHyphens w:val="true"/>
              <w:bidi w:val="0"/>
              <w:spacing w:lineRule="auto" w:line="240" w:beforeAutospacing="0" w:before="0" w:afterAutospacing="0" w:after="0"/>
              <w:ind w:hanging="0" w:left="57" w:right="1361"/>
              <w:contextualSpacing/>
              <w:jc w:val="both"/>
              <w:rPr>
                <w:sz w:val="18"/>
                <w:szCs w:val="18"/>
              </w:rPr>
            </w:pPr>
            <w:r>
              <w:rPr>
                <w:sz w:val="18"/>
                <w:szCs w:val="18"/>
              </w:rPr>
            </w:r>
          </w:p>
        </w:tc>
      </w:tr>
      <w:tr>
        <w:trPr/>
        <w:tc>
          <w:tcPr>
            <w:tcW w:w="1049" w:type="dxa"/>
            <w:tcBorders>
              <w:top w:val="nil"/>
            </w:tcBorders>
          </w:tcPr>
          <w:p>
            <w:pPr>
              <w:pStyle w:val="Style31"/>
              <w:widowControl/>
              <w:suppressAutoHyphens w:val="true"/>
              <w:spacing w:before="40" w:after="40"/>
              <w:jc w:val="center"/>
              <w:rPr>
                <w:rFonts w:ascii="Times New Roman" w:hAnsi="Times New Roman"/>
                <w:sz w:val="22"/>
                <w:szCs w:val="22"/>
              </w:rPr>
            </w:pPr>
            <w:r>
              <w:rPr>
                <w:sz w:val="22"/>
                <w:szCs w:val="22"/>
              </w:rPr>
              <w:t>2.</w:t>
            </w:r>
          </w:p>
        </w:tc>
        <w:tc>
          <w:tcPr>
            <w:tcW w:w="1350" w:type="dxa"/>
            <w:tcBorders>
              <w:top w:val="nil"/>
            </w:tcBorders>
          </w:tcPr>
          <w:p>
            <w:pPr>
              <w:pStyle w:val="3"/>
              <w:widowControl w:val="false"/>
              <w:numPr>
                <w:ilvl w:val="0"/>
                <w:numId w:val="0"/>
              </w:numPr>
              <w:suppressAutoHyphens w:val="true"/>
              <w:bidi w:val="0"/>
              <w:spacing w:lineRule="auto" w:line="240" w:before="0" w:after="0"/>
              <w:ind w:hanging="0" w:left="57" w:right="0"/>
              <w:contextualSpacing/>
              <w:jc w:val="center"/>
              <w:rPr>
                <w:sz w:val="18"/>
                <w:szCs w:val="18"/>
              </w:rPr>
            </w:pPr>
            <w:r>
              <w:rPr>
                <w:sz w:val="18"/>
                <w:szCs w:val="18"/>
                <w:lang w:eastAsia="ru-RU"/>
              </w:rPr>
              <w:t>Неценовой критерий оценки первого уровня / ТЕХ</w:t>
            </w:r>
          </w:p>
        </w:tc>
        <w:tc>
          <w:tcPr>
            <w:tcW w:w="1317" w:type="dxa"/>
            <w:tcBorders>
              <w:top w:val="nil"/>
            </w:tcBorders>
          </w:tcPr>
          <w:p>
            <w:pPr>
              <w:pStyle w:val="3"/>
              <w:widowControl w:val="false"/>
              <w:numPr>
                <w:ilvl w:val="0"/>
                <w:numId w:val="0"/>
              </w:numPr>
              <w:suppressAutoHyphens w:val="true"/>
              <w:bidi w:val="0"/>
              <w:spacing w:lineRule="auto" w:line="240" w:before="0" w:after="0"/>
              <w:ind w:hanging="0" w:left="57" w:right="0"/>
              <w:contextualSpacing/>
              <w:jc w:val="center"/>
              <w:rPr>
                <w:sz w:val="18"/>
                <w:szCs w:val="18"/>
              </w:rPr>
            </w:pPr>
            <w:r>
              <w:rPr>
                <w:sz w:val="18"/>
                <w:szCs w:val="18"/>
                <w:lang w:eastAsia="ru-RU"/>
              </w:rPr>
              <w:t>Квалификация (предпочти-тельность) Участника</w:t>
            </w:r>
          </w:p>
        </w:tc>
        <w:tc>
          <w:tcPr>
            <w:tcW w:w="733" w:type="dxa"/>
            <w:tcBorders>
              <w:top w:val="nil"/>
            </w:tcBorders>
          </w:tcPr>
          <w:p>
            <w:pPr>
              <w:pStyle w:val="Style31"/>
              <w:widowControl/>
              <w:suppressAutoHyphens w:val="true"/>
              <w:spacing w:before="40" w:after="40"/>
              <w:jc w:val="center"/>
              <w:rPr>
                <w:rFonts w:ascii="Times New Roman" w:hAnsi="Times New Roman"/>
                <w:sz w:val="22"/>
                <w:szCs w:val="22"/>
              </w:rPr>
            </w:pPr>
            <w:r>
              <w:rPr>
                <w:sz w:val="22"/>
                <w:szCs w:val="22"/>
              </w:rPr>
              <w:t>отсутствует</w:t>
            </w:r>
          </w:p>
        </w:tc>
        <w:tc>
          <w:tcPr>
            <w:tcW w:w="1068" w:type="dxa"/>
            <w:tcBorders>
              <w:top w:val="nil"/>
            </w:tcBorders>
          </w:tcPr>
          <w:p>
            <w:pPr>
              <w:pStyle w:val="3"/>
              <w:widowControl w:val="false"/>
              <w:numPr>
                <w:ilvl w:val="0"/>
                <w:numId w:val="0"/>
              </w:numPr>
              <w:suppressAutoHyphens w:val="true"/>
              <w:bidi w:val="0"/>
              <w:spacing w:lineRule="auto" w:line="240" w:before="0" w:after="0"/>
              <w:ind w:hanging="0" w:left="57" w:right="0"/>
              <w:contextualSpacing/>
              <w:jc w:val="center"/>
              <w:rPr>
                <w:sz w:val="18"/>
                <w:szCs w:val="18"/>
              </w:rPr>
            </w:pPr>
            <w:r>
              <w:rPr>
                <w:sz w:val="18"/>
                <w:szCs w:val="18"/>
                <w:lang w:eastAsia="ru-RU"/>
              </w:rPr>
              <w:t>5%</w:t>
              <w:br/>
              <w:t>(В</w:t>
            </w:r>
            <w:r>
              <w:rPr>
                <w:sz w:val="18"/>
                <w:szCs w:val="18"/>
                <w:vertAlign w:val="subscript"/>
                <w:lang w:eastAsia="ru-RU"/>
              </w:rPr>
              <w:t>2</w:t>
            </w:r>
            <w:r>
              <w:rPr>
                <w:sz w:val="18"/>
                <w:szCs w:val="18"/>
                <w:lang w:eastAsia="ru-RU"/>
              </w:rPr>
              <w:t xml:space="preserve"> = 0,05)</w:t>
            </w:r>
          </w:p>
        </w:tc>
        <w:tc>
          <w:tcPr>
            <w:tcW w:w="1865" w:type="dxa"/>
            <w:tcBorders>
              <w:top w:val="nil"/>
            </w:tcBorders>
          </w:tcPr>
          <w:p>
            <w:pPr>
              <w:pStyle w:val="3"/>
              <w:widowControl w:val="false"/>
              <w:numPr>
                <w:ilvl w:val="0"/>
                <w:numId w:val="0"/>
              </w:numPr>
              <w:suppressAutoHyphens w:val="true"/>
              <w:bidi w:val="0"/>
              <w:spacing w:lineRule="auto" w:line="240" w:before="40" w:after="40"/>
              <w:ind w:hanging="0" w:left="113" w:right="0"/>
              <w:contextualSpacing/>
              <w:jc w:val="center"/>
              <w:rPr>
                <w:sz w:val="18"/>
                <w:szCs w:val="18"/>
                <w:lang w:eastAsia="ru-RU"/>
              </w:rPr>
            </w:pPr>
            <w:r>
              <w:rPr>
                <w:sz w:val="18"/>
                <w:szCs w:val="18"/>
                <w:lang w:eastAsia="ru-RU"/>
              </w:rPr>
              <w:t xml:space="preserve">Чем больше опыт выполнения работ </w:t>
            </w:r>
            <w:r>
              <w:rPr>
                <w:sz w:val="18"/>
                <w:szCs w:val="18"/>
                <w:highlight w:val="white"/>
                <w:lang w:eastAsia="ru-RU"/>
              </w:rPr>
              <w:t xml:space="preserve"> </w:t>
            </w:r>
            <w:r>
              <w:rPr>
                <w:rFonts w:eastAsia="Calibri"/>
                <w:sz w:val="18"/>
                <w:szCs w:val="18"/>
                <w:highlight w:val="white"/>
                <w:lang w:eastAsia="ru-RU"/>
              </w:rPr>
              <w:t>по строительству/ ремонту/ реконструкции/ модернизации/ техническому перевооружению инженерно-технических средств физической защиты</w:t>
            </w:r>
            <w:r>
              <w:rPr>
                <w:sz w:val="18"/>
                <w:szCs w:val="18"/>
                <w:highlight w:val="white"/>
                <w:lang w:eastAsia="ru-RU"/>
              </w:rPr>
              <w:t>,</w:t>
            </w:r>
            <w:r>
              <w:rPr>
                <w:sz w:val="18"/>
                <w:szCs w:val="18"/>
                <w:lang w:eastAsia="ru-RU"/>
              </w:rPr>
              <w:t xml:space="preserve">  за 5 лет, предшествующих дате подачи заявки, тем выше предпочтительность</w:t>
            </w:r>
          </w:p>
        </w:tc>
        <w:tc>
          <w:tcPr>
            <w:tcW w:w="6684" w:type="dxa"/>
            <w:tcBorders>
              <w:top w:val="nil"/>
            </w:tcBorders>
          </w:tcPr>
          <w:p>
            <w:pPr>
              <w:pStyle w:val="Normal"/>
              <w:widowControl w:val="false"/>
              <w:numPr>
                <w:ilvl w:val="0"/>
                <w:numId w:val="0"/>
              </w:numPr>
              <w:suppressAutoHyphens w:val="true"/>
              <w:bidi w:val="0"/>
              <w:spacing w:lineRule="auto" w:line="240" w:before="0" w:after="0"/>
              <w:ind w:hanging="0" w:left="227" w:right="170"/>
              <w:jc w:val="both"/>
              <w:rPr>
                <w:rFonts w:ascii="Times New Roman" w:hAnsi="Times New Roman" w:eastAsia="Calibri" w:cs="Times New Roman"/>
                <w:sz w:val="18"/>
                <w:szCs w:val="18"/>
              </w:rPr>
            </w:pPr>
            <w:r>
              <w:rPr>
                <w:rFonts w:eastAsia="Times New Roman" w:cs="Times New Roman"/>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keepNext w:val="true"/>
              <w:keepLines/>
              <w:widowControl w:val="false"/>
              <w:numPr>
                <w:ilvl w:val="0"/>
                <w:numId w:val="0"/>
              </w:numPr>
              <w:spacing w:lineRule="auto" w:line="240" w:before="0" w:after="0"/>
              <w:ind w:hanging="0" w:left="0"/>
              <w:jc w:val="both"/>
              <w:rPr>
                <w:rFonts w:ascii="Times New Roman" w:hAnsi="Times New Roman" w:cs="Times New Roman"/>
                <w:sz w:val="18"/>
                <w:szCs w:val="18"/>
              </w:rPr>
            </w:pPr>
            <w:r>
              <w:rPr>
                <w:rFonts w:eastAsia="Times New Roman" w:cs="Times New Roman"/>
                <w:sz w:val="18"/>
                <w:szCs w:val="18"/>
                <w:lang w:eastAsia="ru-RU"/>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w:t>
            </w:r>
            <w:r>
              <w:rPr>
                <w:rFonts w:eastAsia="Times New Roman" w:cs="Times New Roman"/>
                <w:sz w:val="18"/>
                <w:szCs w:val="18"/>
              </w:rPr>
              <w:t>,</w:t>
            </w:r>
            <w:r>
              <w:rPr>
                <w:rFonts w:eastAsia="Times New Roman" w:cs="Times New Roman"/>
                <w:sz w:val="18"/>
                <w:szCs w:val="18"/>
                <w:lang w:eastAsia="ru-RU"/>
              </w:rPr>
              <w:t xml:space="preserve"> с приложением следующих подтверждающих документов </w:t>
            </w:r>
          </w:p>
          <w:p>
            <w:pPr>
              <w:pStyle w:val="Normal"/>
              <w:widowControl w:val="false"/>
              <w:numPr>
                <w:ilvl w:val="0"/>
                <w:numId w:val="0"/>
              </w:numPr>
              <w:spacing w:lineRule="auto" w:line="240" w:before="0" w:after="0"/>
              <w:ind w:hanging="0" w:left="0"/>
              <w:jc w:val="both"/>
              <w:rPr>
                <w:rFonts w:ascii="Times New Roman" w:hAnsi="Times New Roman" w:cs="Times New Roman"/>
                <w:sz w:val="18"/>
                <w:szCs w:val="18"/>
              </w:rPr>
            </w:pPr>
            <w:r>
              <w:rPr>
                <w:rFonts w:eastAsia="Times New Roman" w:cs="Times New Roman"/>
                <w:sz w:val="18"/>
                <w:szCs w:val="18"/>
              </w:rPr>
              <w:t>- копии договоров, подписанных с обеих сторон и скрепленных печатью;</w:t>
            </w:r>
          </w:p>
          <w:p>
            <w:pPr>
              <w:pStyle w:val="Normal"/>
              <w:widowControl w:val="false"/>
              <w:numPr>
                <w:ilvl w:val="0"/>
                <w:numId w:val="0"/>
              </w:numPr>
              <w:spacing w:lineRule="auto" w:line="240" w:before="0" w:after="0"/>
              <w:ind w:hanging="0" w:left="0"/>
              <w:jc w:val="both"/>
              <w:rPr>
                <w:rFonts w:ascii="Times New Roman" w:hAnsi="Times New Roman" w:cs="Times New Roman"/>
                <w:sz w:val="18"/>
                <w:szCs w:val="18"/>
              </w:rPr>
            </w:pPr>
            <w:r>
              <w:rPr>
                <w:rFonts w:eastAsia="Times New Roman" w:cs="Times New Roman"/>
                <w:sz w:val="18"/>
                <w:szCs w:val="18"/>
                <w:lang w:eastAsia="ru-RU"/>
              </w:rPr>
              <w:t>- копии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печатью.</w:t>
            </w:r>
          </w:p>
          <w:p>
            <w:pPr>
              <w:pStyle w:val="Normal"/>
              <w:widowControl w:val="false"/>
              <w:numPr>
                <w:ilvl w:val="0"/>
                <w:numId w:val="0"/>
              </w:numPr>
              <w:suppressAutoHyphens w:val="true"/>
              <w:bidi w:val="0"/>
              <w:spacing w:lineRule="auto" w:line="240" w:before="0" w:after="0"/>
              <w:ind w:hanging="0" w:left="113" w:right="170"/>
              <w:jc w:val="left"/>
              <w:rPr>
                <w:rFonts w:ascii="Times New Roman" w:hAnsi="Times New Roman" w:eastAsia="Calibri" w:cs="Times New Roman"/>
                <w:sz w:val="18"/>
                <w:szCs w:val="18"/>
              </w:rPr>
            </w:pPr>
            <w:r>
              <w:rPr>
                <w:rFonts w:eastAsia="Times New Roman" w:cs="Times New Roman"/>
                <w:sz w:val="18"/>
                <w:szCs w:val="18"/>
                <w:lang w:eastAsia="ru-RU"/>
              </w:rPr>
              <w:t xml:space="preserve">Порядок осуществления оценки (значение оцениваемого параметра), в зависимости от предоставленных в </w:t>
            </w:r>
            <w:r>
              <w:rPr>
                <w:rFonts w:eastAsia="Times New Roman" w:cs="Times New Roman"/>
                <w:i/>
                <w:sz w:val="18"/>
                <w:szCs w:val="18"/>
                <w:lang w:val="en-US" w:eastAsia="ru-RU"/>
              </w:rPr>
              <w:t>i</w:t>
            </w:r>
            <w:r>
              <w:rPr>
                <w:rFonts w:eastAsia="Times New Roman" w:cs="Times New Roman"/>
                <w:sz w:val="18"/>
                <w:szCs w:val="18"/>
                <w:lang w:eastAsia="ru-RU"/>
              </w:rPr>
              <w:t>-ой заявке сведений о наличии у Участника совокупного опыта выполнения работ за последние 5 лет, на общую сумму:</w:t>
            </w:r>
          </w:p>
          <w:p>
            <w:pPr>
              <w:pStyle w:val="Normal"/>
              <w:widowControl w:val="false"/>
              <w:numPr>
                <w:ilvl w:val="0"/>
                <w:numId w:val="0"/>
              </w:numPr>
              <w:suppressAutoHyphens w:val="true"/>
              <w:bidi w:val="0"/>
              <w:spacing w:lineRule="auto" w:line="240" w:before="0" w:after="0"/>
              <w:ind w:hanging="0" w:left="113" w:right="170"/>
              <w:jc w:val="left"/>
              <w:rPr>
                <w:rFonts w:ascii="Times New Roman" w:hAnsi="Times New Roman" w:eastAsia="Calibri" w:cs="Times New Roman"/>
                <w:sz w:val="18"/>
                <w:szCs w:val="18"/>
              </w:rPr>
            </w:pPr>
            <w:r>
              <w:rPr>
                <w:rFonts w:eastAsia="Calibri" w:cs="Times New Roman"/>
                <w:sz w:val="18"/>
                <w:szCs w:val="18"/>
              </w:rPr>
            </w:r>
          </w:p>
          <w:tbl>
            <w:tblPr>
              <w:tblW w:w="6188" w:type="dxa"/>
              <w:jc w:val="left"/>
              <w:tblInd w:w="58" w:type="dxa"/>
              <w:tblLayout w:type="fixed"/>
              <w:tblCellMar>
                <w:top w:w="0" w:type="dxa"/>
                <w:left w:w="108" w:type="dxa"/>
                <w:bottom w:w="0" w:type="dxa"/>
                <w:right w:w="108" w:type="dxa"/>
              </w:tblCellMar>
              <w:tblLook w:val="04a0" w:noHBand="0" w:noVBand="1" w:firstColumn="1" w:lastRow="0" w:lastColumn="0" w:firstRow="1"/>
            </w:tblPr>
            <w:tblGrid>
              <w:gridCol w:w="681"/>
              <w:gridCol w:w="5506"/>
            </w:tblGrid>
            <w:tr>
              <w:trPr>
                <w:trHeight w:val="296" w:hRule="atLeast"/>
                <w:cantSplit w:val="true"/>
              </w:trPr>
              <w:tc>
                <w:tcPr>
                  <w:tcW w:w="681" w:type="dxa"/>
                  <w:tcBorders>
                    <w:bottom w:val="single" w:sz="8" w:space="0" w:color="000000"/>
                    <w:right w:val="single" w:sz="8" w:space="0" w:color="000000"/>
                  </w:tcBorders>
                </w:tcPr>
                <w:p>
                  <w:pPr>
                    <w:pStyle w:val="Normal"/>
                    <w:keepNext w:val="true"/>
                    <w:keepLines/>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0</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uppressAutoHyphens w:val="true"/>
                    <w:bidi w:val="0"/>
                    <w:spacing w:lineRule="auto" w:line="240" w:before="0" w:after="0"/>
                    <w:ind w:hanging="0" w:left="170" w:right="0"/>
                    <w:jc w:val="left"/>
                    <w:rPr>
                      <w:rFonts w:ascii="Times New Roman" w:hAnsi="Times New Roman" w:cs="Times New Roman"/>
                      <w:sz w:val="18"/>
                      <w:szCs w:val="18"/>
                    </w:rPr>
                  </w:pPr>
                  <w:r>
                    <w:rPr>
                      <w:rFonts w:eastAsia="Times New Roman" w:cs="Times New Roman"/>
                      <w:sz w:val="18"/>
                      <w:szCs w:val="18"/>
                    </w:rPr>
                    <w:t>0% (Опыт отсутствует/ Опыт не подтвержден);</w:t>
                  </w:r>
                </w:p>
              </w:tc>
            </w:tr>
            <w:tr>
              <w:trPr>
                <w:trHeight w:val="406" w:hRule="atLeast"/>
                <w:cantSplit w:val="true"/>
              </w:trPr>
              <w:tc>
                <w:tcPr>
                  <w:tcW w:w="681" w:type="dxa"/>
                  <w:tcBorders>
                    <w:bottom w:val="single" w:sz="8" w:space="0" w:color="000000"/>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1</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более 0 % НМЦ «без учета НДС», но менее 20% НМЦ «без учета НДС» (включительно);</w:t>
                  </w:r>
                </w:p>
              </w:tc>
            </w:tr>
            <w:tr>
              <w:trPr>
                <w:trHeight w:val="406" w:hRule="atLeast"/>
                <w:cantSplit w:val="true"/>
              </w:trPr>
              <w:tc>
                <w:tcPr>
                  <w:tcW w:w="681" w:type="dxa"/>
                  <w:tcBorders>
                    <w:bottom w:val="single" w:sz="8" w:space="0" w:color="000000"/>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2</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более 20 % НМЦ «без учета НДС», но менее 40 % НМЦ «без учета НДС» (включительно);</w:t>
                  </w:r>
                </w:p>
              </w:tc>
            </w:tr>
            <w:tr>
              <w:trPr>
                <w:trHeight w:val="406" w:hRule="atLeast"/>
                <w:cantSplit w:val="true"/>
              </w:trPr>
              <w:tc>
                <w:tcPr>
                  <w:tcW w:w="681" w:type="dxa"/>
                  <w:tcBorders>
                    <w:bottom w:val="single" w:sz="8" w:space="0" w:color="000000"/>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3</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более 40 % НМЦ «без учета НДС», но менее 60 % НМЦ «без учета НДС» (включительно);</w:t>
                  </w:r>
                </w:p>
              </w:tc>
            </w:tr>
            <w:tr>
              <w:trPr>
                <w:trHeight w:val="406" w:hRule="atLeast"/>
                <w:cantSplit w:val="true"/>
              </w:trPr>
              <w:tc>
                <w:tcPr>
                  <w:tcW w:w="681" w:type="dxa"/>
                  <w:tcBorders>
                    <w:bottom w:val="single" w:sz="8" w:space="0" w:color="000000"/>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4</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более 60 % НМЦ «без учета НДС», но менее 80 % НМЦ «без учета НДС» (включительно);</w:t>
                  </w:r>
                </w:p>
              </w:tc>
            </w:tr>
            <w:tr>
              <w:trPr>
                <w:trHeight w:val="309" w:hRule="atLeast"/>
                <w:cantSplit w:val="true"/>
              </w:trPr>
              <w:tc>
                <w:tcPr>
                  <w:tcW w:w="681" w:type="dxa"/>
                  <w:tcBorders>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5</w:t>
                  </w:r>
                </w:p>
              </w:tc>
              <w:tc>
                <w:tcPr>
                  <w:tcW w:w="5506" w:type="dxa"/>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выше 80 % НМЦ «без учета НДС».</w:t>
                  </w:r>
                </w:p>
              </w:tc>
            </w:tr>
          </w:tbl>
          <w:p>
            <w:pPr>
              <w:pStyle w:val="Normal"/>
              <w:widowControl w:val="false"/>
              <w:numPr>
                <w:ilvl w:val="0"/>
                <w:numId w:val="0"/>
              </w:numPr>
              <w:tabs>
                <w:tab w:val="clear" w:pos="708"/>
                <w:tab w:val="left" w:pos="742" w:leader="none"/>
                <w:tab w:val="left" w:pos="1167" w:leader="none"/>
              </w:tabs>
              <w:spacing w:lineRule="auto" w:line="240" w:before="0" w:after="0"/>
              <w:ind w:hanging="0" w:left="0"/>
              <w:rPr>
                <w:rFonts w:ascii="Times New Roman" w:hAnsi="Times New Roman" w:eastAsia="Calibri" w:cs="Times New Roman"/>
                <w:sz w:val="18"/>
                <w:szCs w:val="18"/>
              </w:rPr>
            </w:pPr>
            <w:r>
              <w:rPr>
                <w:rFonts w:eastAsia="Times New Roman" w:cs="Times New Roman"/>
                <w:sz w:val="18"/>
                <w:szCs w:val="18"/>
                <w:lang w:eastAsia="ru-RU"/>
              </w:rPr>
              <w:t>Б</w:t>
            </w:r>
            <w:r>
              <w:rPr>
                <w:rFonts w:eastAsia="Times New Roman" w:cs="Times New Roman"/>
                <w:sz w:val="18"/>
                <w:szCs w:val="18"/>
                <w:vertAlign w:val="subscript"/>
                <w:lang w:eastAsia="ru-RU"/>
              </w:rPr>
              <w:t>2</w:t>
            </w:r>
            <w:r>
              <w:rPr>
                <w:rFonts w:eastAsia="Times New Roman" w:cs="Times New Roman"/>
                <w:sz w:val="18"/>
                <w:szCs w:val="18"/>
                <w:lang w:eastAsia="ru-RU"/>
              </w:rPr>
              <w:tab/>
              <w:t>–</w:t>
              <w:tab/>
              <w:t>рассчитанная оценка предпочтительности по данному частному критерию оценки второго уровня в баллах.</w:t>
            </w:r>
          </w:p>
          <w:p>
            <w:pPr>
              <w:pStyle w:val="Normal"/>
              <w:widowControl w:val="false"/>
              <w:numPr>
                <w:ilvl w:val="0"/>
                <w:numId w:val="0"/>
              </w:numPr>
              <w:tabs>
                <w:tab w:val="clear" w:pos="708"/>
                <w:tab w:val="left" w:pos="742" w:leader="none"/>
                <w:tab w:val="left" w:pos="1167" w:leader="none"/>
              </w:tabs>
              <w:spacing w:lineRule="auto" w:line="240" w:before="0" w:after="0"/>
              <w:ind w:hanging="0" w:left="0"/>
              <w:rPr>
                <w:rFonts w:ascii="Times New Roman" w:hAnsi="Times New Roman" w:eastAsia="Calibri" w:cs="Times New Roman"/>
                <w:sz w:val="18"/>
                <w:szCs w:val="18"/>
              </w:rPr>
            </w:pPr>
            <w:r>
              <w:rPr>
                <w:rFonts w:eastAsia="Times New Roman" w:cs="Times New Roman"/>
                <w:sz w:val="18"/>
                <w:szCs w:val="18"/>
                <w:lang w:eastAsia="ru-RU"/>
              </w:rPr>
              <w:t>Опыт, не соответствующий установленным выше требованиям, не оценивается.</w:t>
            </w:r>
          </w:p>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lang w:eastAsia="ru-RU"/>
              </w:rPr>
              <w:t>Шкала оценок от 0 до 5 баллов.</w:t>
            </w:r>
          </w:p>
        </w:tc>
      </w:tr>
      <w:tr>
        <w:trPr/>
        <w:tc>
          <w:tcPr>
            <w:tcW w:w="1049" w:type="dxa"/>
            <w:tcBorders/>
          </w:tcPr>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3.</w:t>
            </w:r>
          </w:p>
        </w:tc>
        <w:tc>
          <w:tcPr>
            <w:tcW w:w="1350" w:type="dxa"/>
            <w:tcBorders/>
          </w:tcPr>
          <w:p>
            <w:pPr>
              <w:pStyle w:val="Style31"/>
              <w:widowControl/>
              <w:suppressAutoHyphens w:val="true"/>
              <w:spacing w:before="40" w:after="40"/>
              <w:jc w:val="center"/>
              <w:rPr/>
            </w:pPr>
            <w:r>
              <w:rPr>
                <w:rStyle w:val="Style11"/>
                <w:rFonts w:eastAsia="Calibri" w:cs=""/>
                <w:i w:val="false"/>
                <w:iCs w:val="false"/>
                <w:kern w:val="0"/>
                <w:sz w:val="18"/>
                <w:szCs w:val="18"/>
                <w:shd w:fill="auto" w:val="clear"/>
                <w:lang w:val="ru-RU" w:eastAsia="en-US" w:bidi="ar-SA"/>
              </w:rPr>
              <w:t>Неценовой критерий оценки первого уровня/Орг</w:t>
            </w:r>
          </w:p>
        </w:tc>
        <w:tc>
          <w:tcPr>
            <w:tcW w:w="1317" w:type="dxa"/>
            <w:tcBorders/>
          </w:tcPr>
          <w:p>
            <w:pPr>
              <w:pStyle w:val="Style31"/>
              <w:widowControl/>
              <w:suppressAutoHyphens w:val="true"/>
              <w:spacing w:before="40" w:after="40"/>
              <w:jc w:val="center"/>
              <w:rPr>
                <w:sz w:val="18"/>
                <w:szCs w:val="18"/>
              </w:rPr>
            </w:pPr>
            <w:r>
              <w:rPr>
                <w:rFonts w:eastAsia="Calibri" w:cs=""/>
                <w:kern w:val="0"/>
                <w:sz w:val="18"/>
                <w:szCs w:val="18"/>
                <w:lang w:val="ru-RU" w:eastAsia="en-US" w:bidi="ar-SA"/>
              </w:rPr>
              <w:t>Финансовое состояние (устойчивость) Участника</w:t>
            </w:r>
          </w:p>
        </w:tc>
        <w:tc>
          <w:tcPr>
            <w:tcW w:w="733" w:type="dxa"/>
            <w:tcBorders/>
          </w:tcPr>
          <w:p>
            <w:pPr>
              <w:pStyle w:val="Style31"/>
              <w:widowControl/>
              <w:suppressAutoHyphens w:val="true"/>
              <w:spacing w:before="40" w:after="40"/>
              <w:jc w:val="center"/>
              <w:rPr>
                <w:sz w:val="18"/>
                <w:szCs w:val="18"/>
              </w:rPr>
            </w:pPr>
            <w:r>
              <w:rPr>
                <w:rFonts w:eastAsia="Calibri" w:cs=""/>
                <w:i/>
                <w:iCs/>
                <w:kern w:val="0"/>
                <w:sz w:val="18"/>
                <w:szCs w:val="18"/>
                <w:lang w:val="ru-RU" w:eastAsia="en-US" w:bidi="ar-SA"/>
              </w:rPr>
              <w:t>отсутствует</w:t>
            </w:r>
          </w:p>
        </w:tc>
        <w:tc>
          <w:tcPr>
            <w:tcW w:w="1068" w:type="dxa"/>
            <w:tcBorders/>
          </w:tcPr>
          <w:p>
            <w:pPr>
              <w:pStyle w:val="Style31"/>
              <w:widowControl/>
              <w:suppressAutoHyphens w:val="true"/>
              <w:bidi w:val="0"/>
              <w:spacing w:before="40" w:after="40"/>
              <w:ind w:hanging="0" w:left="57" w:right="794"/>
              <w:jc w:val="center"/>
              <w:rPr/>
            </w:pPr>
            <w:r>
              <w:rPr>
                <w:rStyle w:val="Style11"/>
                <w:rFonts w:eastAsia="Calibri" w:cs=""/>
                <w:kern w:val="0"/>
                <w:sz w:val="18"/>
                <w:szCs w:val="18"/>
                <w:shd w:fill="auto" w:val="clear"/>
                <w:lang w:val="ru-RU" w:eastAsia="en-US" w:bidi="ar-SA"/>
              </w:rPr>
              <w:t>5%</w:t>
            </w:r>
          </w:p>
          <w:p>
            <w:pPr>
              <w:pStyle w:val="Style31"/>
              <w:widowControl/>
              <w:suppressAutoHyphens w:val="true"/>
              <w:bidi w:val="0"/>
              <w:spacing w:before="40" w:after="40"/>
              <w:ind w:hanging="0" w:left="113" w:right="0"/>
              <w:jc w:val="center"/>
              <w:rPr/>
            </w:pPr>
            <w:r>
              <w:rPr>
                <w:rStyle w:val="Style11"/>
                <w:rFonts w:eastAsia="Calibri" w:cs=""/>
                <w:kern w:val="0"/>
                <w:sz w:val="18"/>
                <w:szCs w:val="18"/>
                <w:shd w:fill="auto" w:val="clear"/>
                <w:lang w:val="ru-RU" w:eastAsia="en-US" w:bidi="ar-SA"/>
              </w:rPr>
              <w:t>(В</w:t>
            </w:r>
            <w:r>
              <w:rPr>
                <w:rStyle w:val="Style11"/>
                <w:rFonts w:eastAsia="Calibri" w:cs=""/>
                <w:kern w:val="0"/>
                <w:sz w:val="18"/>
                <w:szCs w:val="18"/>
                <w:shd w:fill="auto" w:val="clear"/>
                <w:vertAlign w:val="subscript"/>
                <w:lang w:val="ru-RU" w:eastAsia="en-US" w:bidi="ar-SA"/>
              </w:rPr>
              <w:t>3</w:t>
            </w:r>
            <w:r>
              <w:rPr>
                <w:rStyle w:val="Style11"/>
                <w:rFonts w:eastAsia="Calibri" w:cs=""/>
                <w:kern w:val="0"/>
                <w:sz w:val="18"/>
                <w:szCs w:val="18"/>
                <w:shd w:fill="auto" w:val="clear"/>
                <w:lang w:val="ru-RU" w:eastAsia="en-US" w:bidi="ar-SA"/>
              </w:rPr>
              <w:t>=0,05)</w:t>
            </w:r>
          </w:p>
        </w:tc>
        <w:tc>
          <w:tcPr>
            <w:tcW w:w="1865" w:type="dxa"/>
            <w:tcBorders/>
          </w:tcPr>
          <w:p>
            <w:pPr>
              <w:pStyle w:val="Style31"/>
              <w:widowControl/>
              <w:suppressAutoHyphens w:val="true"/>
              <w:spacing w:before="40" w:after="40"/>
              <w:jc w:val="left"/>
              <w:rPr>
                <w:sz w:val="18"/>
                <w:szCs w:val="18"/>
              </w:rPr>
            </w:pPr>
            <w:r>
              <w:rPr>
                <w:rFonts w:eastAsia="Calibri" w:cs=""/>
                <w:kern w:val="0"/>
                <w:sz w:val="18"/>
                <w:szCs w:val="18"/>
                <w:lang w:val="ru-RU" w:eastAsia="en-US" w:bidi="ar-SA"/>
              </w:rPr>
              <w:t>Чем выше оценка финансового состояния (устойчивости) Участника, тем выше предпочтительность</w:t>
            </w:r>
          </w:p>
        </w:tc>
        <w:tc>
          <w:tcPr>
            <w:tcW w:w="6684" w:type="dxa"/>
            <w:tcBorders/>
          </w:tcPr>
          <w:p>
            <w:pPr>
              <w:pStyle w:val="Style31"/>
              <w:widowControl/>
              <w:suppressAutoHyphens w:val="true"/>
              <w:spacing w:before="40" w:after="40"/>
              <w:jc w:val="left"/>
              <w:rPr>
                <w:sz w:val="18"/>
                <w:szCs w:val="18"/>
              </w:rPr>
            </w:pPr>
            <w:r>
              <w:rPr>
                <w:rFonts w:eastAsia="Calibri" w:cs=""/>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31"/>
              <w:widowControl/>
              <w:suppressAutoHyphens w:val="true"/>
              <w:spacing w:before="40" w:after="40"/>
              <w:jc w:val="left"/>
              <w:rPr>
                <w:sz w:val="18"/>
                <w:szCs w:val="18"/>
              </w:rPr>
            </w:pPr>
            <w:r>
              <w:rPr>
                <w:rFonts w:eastAsia="Calibri" w:cs=""/>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31"/>
              <w:keepNext w:val="true"/>
              <w:widowControl/>
              <w:numPr>
                <w:ilvl w:val="0"/>
                <w:numId w:val="15"/>
              </w:numPr>
              <w:suppressAutoHyphens w:val="true"/>
              <w:spacing w:before="40" w:after="40"/>
              <w:ind w:hanging="142" w:left="142"/>
              <w:jc w:val="left"/>
              <w:rPr>
                <w:sz w:val="18"/>
                <w:szCs w:val="18"/>
              </w:rPr>
            </w:pPr>
            <w:r>
              <w:rPr>
                <w:rFonts w:eastAsia="Calibri" w:cs=""/>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
                <w:kern w:val="0"/>
                <w:sz w:val="18"/>
                <w:szCs w:val="18"/>
                <w:lang w:val="ru-RU" w:eastAsia="en-US" w:bidi="ar-SA"/>
              </w:rPr>
              <w:footnoteReference w:id="18"/>
            </w:r>
            <w:r>
              <w:rPr>
                <w:rFonts w:eastAsia="Calibri" w:cs=""/>
                <w:kern w:val="0"/>
                <w:sz w:val="18"/>
                <w:szCs w:val="18"/>
                <w:lang w:val="ru-RU" w:eastAsia="en-US" w:bidi="ar-SA"/>
              </w:rPr>
              <w:t>;</w:t>
            </w:r>
          </w:p>
          <w:p>
            <w:pPr>
              <w:pStyle w:val="Style31"/>
              <w:keepNext w:val="true"/>
              <w:widowControl/>
              <w:numPr>
                <w:ilvl w:val="0"/>
                <w:numId w:val="15"/>
              </w:numPr>
              <w:suppressAutoHyphens w:val="true"/>
              <w:spacing w:before="40" w:after="40"/>
              <w:ind w:hanging="142" w:left="142"/>
              <w:jc w:val="left"/>
              <w:rPr>
                <w:sz w:val="18"/>
                <w:szCs w:val="18"/>
              </w:rPr>
            </w:pPr>
            <w:r>
              <w:rPr>
                <w:rFonts w:eastAsia="Calibri" w:cs=""/>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31"/>
              <w:keepNext w:val="true"/>
              <w:widowControl/>
              <w:suppressAutoHyphens w:val="true"/>
              <w:spacing w:before="120" w:after="40"/>
              <w:ind w:left="142"/>
              <w:jc w:val="left"/>
              <w:rPr>
                <w:sz w:val="18"/>
                <w:szCs w:val="18"/>
              </w:rPr>
            </w:pPr>
            <w:r>
              <w:rPr>
                <w:rFonts w:eastAsia="Calibri" w:cs=""/>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31"/>
              <w:keepNext w:val="true"/>
              <w:widowControl/>
              <w:suppressAutoHyphens w:val="true"/>
              <w:spacing w:before="40" w:after="40"/>
              <w:ind w:left="142"/>
              <w:jc w:val="left"/>
              <w:rPr>
                <w:sz w:val="18"/>
                <w:szCs w:val="18"/>
              </w:rPr>
            </w:pPr>
            <w:r>
              <w:rPr>
                <w:rFonts w:eastAsia="Calibri" w:cs=""/>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31"/>
              <w:keepNext w:val="true"/>
              <w:widowControl/>
              <w:numPr>
                <w:ilvl w:val="0"/>
                <w:numId w:val="15"/>
              </w:numPr>
              <w:suppressAutoHyphens w:val="true"/>
              <w:spacing w:before="40" w:after="40"/>
              <w:ind w:hanging="142" w:left="284"/>
              <w:jc w:val="left"/>
              <w:rPr>
                <w:sz w:val="18"/>
                <w:szCs w:val="18"/>
              </w:rPr>
            </w:pPr>
            <w:r>
              <w:rPr>
                <w:rFonts w:eastAsia="Calibri" w:cs=""/>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1"/>
              <w:keepNext w:val="true"/>
              <w:widowControl/>
              <w:numPr>
                <w:ilvl w:val="0"/>
                <w:numId w:val="15"/>
              </w:numPr>
              <w:suppressAutoHyphens w:val="true"/>
              <w:spacing w:before="40" w:after="40"/>
              <w:ind w:hanging="142" w:left="284"/>
              <w:jc w:val="left"/>
              <w:rPr/>
            </w:pPr>
            <w:r>
              <w:rPr>
                <w:rFonts w:eastAsia="Calibri" w:cs=""/>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Форма_данных_бухотчетность">
              <w:r>
                <w:rPr>
                  <w:rStyle w:val="Hyperlink"/>
                  <w:rFonts w:eastAsia="Calibri" w:cs=""/>
                  <w:kern w:val="0"/>
                  <w:sz w:val="18"/>
                  <w:szCs w:val="18"/>
                  <w:lang w:val="ru-RU" w:eastAsia="en-US" w:bidi="ar-SA"/>
                </w:rPr>
                <w:t>Приложение № 11</w:t>
              </w:r>
            </w:hyperlink>
            <w:r>
              <w:rPr>
                <w:rFonts w:eastAsia="Calibri" w:cs=""/>
                <w:kern w:val="0"/>
                <w:sz w:val="18"/>
                <w:szCs w:val="18"/>
                <w:lang w:val="ru-RU" w:eastAsia="en-US" w:bidi="ar-SA"/>
              </w:rPr>
              <w:t>).</w:t>
            </w:r>
          </w:p>
          <w:p>
            <w:pPr>
              <w:pStyle w:val="Style31"/>
              <w:keepNext w:val="true"/>
              <w:widowControl/>
              <w:suppressAutoHyphens w:val="true"/>
              <w:spacing w:before="40" w:after="40"/>
              <w:jc w:val="left"/>
              <w:rPr>
                <w:sz w:val="18"/>
                <w:szCs w:val="18"/>
              </w:rPr>
            </w:pPr>
            <w:r>
              <w:rPr>
                <w:rFonts w:eastAsia="Calibri" w:cs=""/>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Style w:val="af6"/>
              <w:tblW w:w="6350"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93"/>
              <w:gridCol w:w="5556"/>
            </w:tblGrid>
            <w:tr>
              <w:trPr>
                <w:cnfStyle w:val="100000000000" w:firstRow="1" w:lastRow="0" w:firstColumn="0" w:lastColumn="0" w:oddVBand="0" w:evenVBand="0" w:oddHBand="0" w:evenHBand="0" w:firstRowFirstColumn="0" w:firstRowLastColumn="0" w:lastRowFirstColumn="0" w:lastRowLastColumn="0"/>
              </w:trPr>
              <w:tc>
                <w:tcPr>
                  <w:tcW w:w="793" w:type="dxa"/>
                  <w:tcBorders>
                    <w:top w:val="nil"/>
                    <w:left w:val="nil"/>
                  </w:tcBorders>
                </w:tcPr>
                <w:p>
                  <w:pPr>
                    <w:pStyle w:val="Style31"/>
                    <w:keepNext w:val="false"/>
                    <w:keepLines w:val="false"/>
                    <w:widowControl/>
                    <w:suppressAutoHyphens w:val="true"/>
                    <w:spacing w:before="40" w:after="40"/>
                    <w:jc w:val="left"/>
                    <w:rPr>
                      <w:b/>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5556" w:type="dxa"/>
                  <w:tcBorders>
                    <w:top w:val="nil"/>
                    <w:right w:val="nil"/>
                  </w:tcBorders>
                </w:tcPr>
                <w:p>
                  <w:pPr>
                    <w:pStyle w:val="Style31"/>
                    <w:keepNext w:val="true"/>
                    <w:keepLines w:val="false"/>
                    <w:widowControl/>
                    <w:suppressAutoHyphens w:val="true"/>
                    <w:spacing w:before="40" w:after="40"/>
                    <w:jc w:val="left"/>
                    <w:rPr>
                      <w:sz w:val="18"/>
                      <w:szCs w:val="18"/>
                    </w:rPr>
                  </w:pPr>
                  <w:r>
                    <w:rPr>
                      <w:rFonts w:eastAsia="Calibri" w:cs=""/>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31"/>
                    <w:keepNext w:val="true"/>
                    <w:keepLines w:val="false"/>
                    <w:widowControl/>
                    <w:suppressAutoHyphens w:val="true"/>
                    <w:spacing w:before="40" w:after="40"/>
                    <w:jc w:val="left"/>
                    <w:rPr>
                      <w:sz w:val="18"/>
                      <w:szCs w:val="18"/>
                    </w:rPr>
                  </w:pPr>
                  <w:r>
                    <w:rPr>
                      <w:rFonts w:eastAsia="Calibri" w:cs=""/>
                      <w:b w:val="false"/>
                      <w:i/>
                      <w:iCs/>
                      <w:kern w:val="0"/>
                      <w:sz w:val="18"/>
                      <w:szCs w:val="18"/>
                      <w:lang w:val="ru-RU" w:eastAsia="en-US" w:bidi="ar-SA"/>
                    </w:rPr>
                    <w:t>или</w:t>
                  </w:r>
                </w:p>
                <w:p>
                  <w:pPr>
                    <w:pStyle w:val="Style31"/>
                    <w:keepNext w:val="true"/>
                    <w:keepLines w:val="false"/>
                    <w:widowControl/>
                    <w:suppressAutoHyphens w:val="true"/>
                    <w:spacing w:before="40" w:after="40"/>
                    <w:jc w:val="left"/>
                    <w:rPr>
                      <w:sz w:val="18"/>
                      <w:szCs w:val="18"/>
                    </w:rPr>
                  </w:pPr>
                  <w:r>
                    <w:rPr>
                      <w:rFonts w:eastAsia="Calibri" w:cs=""/>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31"/>
                    <w:keepNext w:val="true"/>
                    <w:keepLines w:val="false"/>
                    <w:widowControl/>
                    <w:numPr>
                      <w:ilvl w:val="0"/>
                      <w:numId w:val="15"/>
                    </w:numPr>
                    <w:suppressAutoHyphens w:val="true"/>
                    <w:spacing w:before="40" w:after="40"/>
                    <w:ind w:hanging="142" w:left="142"/>
                    <w:jc w:val="left"/>
                    <w:rPr>
                      <w:sz w:val="18"/>
                      <w:szCs w:val="18"/>
                    </w:rPr>
                  </w:pPr>
                  <w:r>
                    <w:rPr>
                      <w:rFonts w:eastAsia="Calibri" w:cs=""/>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31"/>
                    <w:keepNext w:val="false"/>
                    <w:keepLines w:val="false"/>
                    <w:widowControl/>
                    <w:numPr>
                      <w:ilvl w:val="0"/>
                      <w:numId w:val="15"/>
                    </w:numPr>
                    <w:suppressAutoHyphens w:val="true"/>
                    <w:spacing w:before="40" w:after="40"/>
                    <w:ind w:hanging="142" w:left="142"/>
                    <w:jc w:val="left"/>
                    <w:rPr>
                      <w:sz w:val="18"/>
                      <w:szCs w:val="18"/>
                    </w:rPr>
                  </w:pPr>
                  <w:r>
                    <w:rPr>
                      <w:rFonts w:eastAsia="Calibri" w:cs=""/>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93" w:type="dxa"/>
                  <w:tcBorders>
                    <w:left w:val="nil"/>
                  </w:tcBorders>
                </w:tcPr>
                <w:p>
                  <w:pPr>
                    <w:pStyle w:val="Style31"/>
                    <w:widowControl/>
                    <w:suppressAutoHyphens w:val="true"/>
                    <w:spacing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5556" w:type="dxa"/>
                  <w:tcBorders>
                    <w:right w:val="nil"/>
                  </w:tcBorders>
                </w:tcPr>
                <w:p>
                  <w:pPr>
                    <w:pStyle w:val="Style31"/>
                    <w:widowControl/>
                    <w:suppressAutoHyphens w:val="true"/>
                    <w:spacing w:before="40" w:after="40"/>
                    <w:jc w:val="left"/>
                    <w:rPr>
                      <w:sz w:val="18"/>
                      <w:szCs w:val="18"/>
                    </w:rPr>
                  </w:pPr>
                  <w:r>
                    <w:rPr>
                      <w:rFonts w:eastAsia="Calibri" w:cs=""/>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93" w:type="dxa"/>
                  <w:tcBorders>
                    <w:left w:val="nil"/>
                    <w:bottom w:val="nil"/>
                  </w:tcBorders>
                </w:tcPr>
                <w:p>
                  <w:pPr>
                    <w:pStyle w:val="Style31"/>
                    <w:widowControl/>
                    <w:suppressAutoHyphens w:val="true"/>
                    <w:spacing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5556" w:type="dxa"/>
                  <w:tcBorders>
                    <w:bottom w:val="nil"/>
                    <w:right w:val="nil"/>
                  </w:tcBorders>
                </w:tcPr>
                <w:p>
                  <w:pPr>
                    <w:pStyle w:val="Style31"/>
                    <w:widowControl/>
                    <w:suppressAutoHyphens w:val="true"/>
                    <w:spacing w:before="40" w:after="40"/>
                    <w:jc w:val="left"/>
                    <w:rPr>
                      <w:sz w:val="18"/>
                      <w:szCs w:val="18"/>
                    </w:rPr>
                  </w:pPr>
                  <w:r>
                    <w:rPr>
                      <w:rFonts w:eastAsia="Calibri" w:cs=""/>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31"/>
              <w:widowControl/>
              <w:suppressAutoHyphens w:val="true"/>
              <w:spacing w:before="40" w:after="40"/>
              <w:jc w:val="left"/>
              <w:rPr>
                <w:sz w:val="18"/>
                <w:szCs w:val="18"/>
              </w:rPr>
            </w:pPr>
            <w:r>
              <w:rPr>
                <w:rFonts w:eastAsia="Calibri" w:cs=""/>
                <w:kern w:val="0"/>
                <w:sz w:val="18"/>
                <w:szCs w:val="18"/>
                <w:lang w:val="ru-RU" w:eastAsia="en-US" w:bidi="ar-SA"/>
              </w:rPr>
              <w:t>где:</w:t>
            </w:r>
          </w:p>
          <w:p>
            <w:pPr>
              <w:pStyle w:val="Style31"/>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рассчитанная оценка предпочтительности по частному критерию оценки в баллах.</w:t>
            </w:r>
          </w:p>
          <w:p>
            <w:pPr>
              <w:pStyle w:val="Style31"/>
              <w:widowControl/>
              <w:suppressAutoHyphens w:val="true"/>
              <w:spacing w:before="40" w:after="40"/>
              <w:jc w:val="left"/>
              <w:rPr>
                <w:sz w:val="18"/>
                <w:szCs w:val="18"/>
              </w:rPr>
            </w:pPr>
            <w:r>
              <w:rPr>
                <w:rFonts w:eastAsia="Calibri" w:cs=""/>
                <w:kern w:val="0"/>
                <w:sz w:val="18"/>
                <w:szCs w:val="18"/>
                <w:lang w:val="ru-RU" w:eastAsia="en-US" w:bidi="ar-SA"/>
              </w:rPr>
              <w:t>Шкала оценок от 0 до 5 баллов.</w:t>
            </w:r>
          </w:p>
          <w:p>
            <w:pPr>
              <w:pStyle w:val="Style31"/>
              <w:widowControl/>
              <w:suppressAutoHyphens w:val="true"/>
              <w:spacing w:before="40" w:after="40"/>
              <w:jc w:val="left"/>
              <w:rPr>
                <w:sz w:val="18"/>
                <w:szCs w:val="18"/>
              </w:rPr>
            </w:pPr>
            <w:r>
              <w:rPr>
                <w:rFonts w:eastAsia="Calibri" w:cs=""/>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1"/>
              <w:widowControl/>
              <w:suppressAutoHyphens w:val="true"/>
              <w:spacing w:before="40" w:after="40"/>
              <w:jc w:val="left"/>
              <w:rPr/>
            </w:pPr>
            <w:r>
              <w:rPr>
                <w:rFonts w:eastAsia="Calibri" w:cs=""/>
                <w:i/>
                <w:iCs/>
                <w:kern w:val="0"/>
                <w:sz w:val="18"/>
                <w:szCs w:val="18"/>
                <w:lang w:val="ru-RU" w:eastAsia="en-US" w:bidi="ar-SA"/>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r>
                <w:rPr>
                  <w:rStyle w:val="Style14"/>
                  <w:rFonts w:eastAsia="Calibri" w:cs=""/>
                  <w:i/>
                  <w:iCs/>
                  <w:kern w:val="0"/>
                  <w:sz w:val="18"/>
                  <w:szCs w:val="18"/>
                  <w:lang w:val="ru-RU" w:eastAsia="en-US" w:bidi="ar-SA"/>
                </w:rPr>
                <w:t>Приложение № 4</w:t>
              </w:r>
            </w:hyperlink>
            <w:r>
              <w:rPr>
                <w:rFonts w:eastAsia="Calibri" w:cs=""/>
                <w:i/>
                <w:iCs/>
                <w:kern w:val="0"/>
                <w:sz w:val="18"/>
                <w:szCs w:val="18"/>
                <w:lang w:val="ru-RU" w:eastAsia="en-US" w:bidi="ar-SA"/>
              </w:rPr>
              <w:t>), представленному в заявке такого Коллективного участника на участие в закупке.)</w:t>
            </w:r>
          </w:p>
          <w:p>
            <w:pPr>
              <w:pStyle w:val="Style31"/>
              <w:widowControl/>
              <w:suppressAutoHyphens w:val="true"/>
              <w:spacing w:before="40" w:after="40"/>
              <w:jc w:val="left"/>
              <w:rPr>
                <w:sz w:val="18"/>
                <w:szCs w:val="18"/>
              </w:rPr>
            </w:pPr>
            <w:r>
              <w:rPr>
                <w:rFonts w:eastAsia="Calibri" w:cs=""/>
                <w:i/>
                <w:iCs/>
                <w:kern w:val="0"/>
                <w:sz w:val="18"/>
                <w:szCs w:val="18"/>
                <w:lang w:val="ru-RU" w:eastAsia="en-US" w:bidi="ar-SA"/>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trPr/>
        <w:tc>
          <w:tcPr>
            <w:tcW w:w="1049" w:type="dxa"/>
            <w:tcBorders/>
          </w:tcPr>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w:t>
            </w:r>
          </w:p>
        </w:tc>
        <w:tc>
          <w:tcPr>
            <w:tcW w:w="1350" w:type="dxa"/>
            <w:tcBorders/>
          </w:tcPr>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w:t>
            </w:r>
          </w:p>
        </w:tc>
        <w:tc>
          <w:tcPr>
            <w:tcW w:w="1317" w:type="dxa"/>
            <w:tcBorders/>
          </w:tcPr>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w:t>
            </w:r>
          </w:p>
        </w:tc>
        <w:tc>
          <w:tcPr>
            <w:tcW w:w="733" w:type="dxa"/>
            <w:tcBorders/>
          </w:tcPr>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w:t>
            </w:r>
          </w:p>
        </w:tc>
        <w:tc>
          <w:tcPr>
            <w:tcW w:w="1068" w:type="dxa"/>
            <w:tcBorders/>
          </w:tcPr>
          <w:p>
            <w:pPr>
              <w:pStyle w:val="Style31"/>
              <w:widowControl/>
              <w:suppressAutoHyphens w:val="true"/>
              <w:spacing w:before="40" w:after="40"/>
              <w:jc w:val="center"/>
              <w:rPr>
                <w:rFonts w:ascii="Times New Roman" w:hAnsi="Times New Roman"/>
                <w:sz w:val="22"/>
                <w:szCs w:val="22"/>
              </w:rPr>
            </w:pPr>
            <w:r>
              <w:rPr>
                <w:rFonts w:eastAsia="Calibri" w:cs=""/>
                <w:kern w:val="0"/>
                <w:sz w:val="22"/>
                <w:szCs w:val="22"/>
                <w:lang w:val="ru-RU" w:eastAsia="en-US" w:bidi="ar-SA"/>
              </w:rPr>
              <w:t>…</w:t>
            </w:r>
          </w:p>
        </w:tc>
        <w:tc>
          <w:tcPr>
            <w:tcW w:w="1865" w:type="dxa"/>
            <w:tcBorders/>
          </w:tcPr>
          <w:p>
            <w:pPr>
              <w:pStyle w:val="Style31"/>
              <w:widowControl/>
              <w:suppressAutoHyphens w:val="true"/>
              <w:spacing w:before="40" w:after="40"/>
              <w:jc w:val="left"/>
              <w:rPr>
                <w:rFonts w:ascii="Times New Roman" w:hAnsi="Times New Roman"/>
                <w:sz w:val="22"/>
                <w:szCs w:val="22"/>
              </w:rPr>
            </w:pPr>
            <w:r>
              <w:rPr>
                <w:rFonts w:eastAsia="Calibri" w:cs=""/>
                <w:kern w:val="0"/>
                <w:sz w:val="22"/>
                <w:szCs w:val="22"/>
                <w:lang w:val="ru-RU" w:eastAsia="en-US" w:bidi="ar-SA"/>
              </w:rPr>
              <w:t>…</w:t>
            </w:r>
          </w:p>
        </w:tc>
        <w:tc>
          <w:tcPr>
            <w:tcW w:w="6684" w:type="dxa"/>
            <w:tcBorders/>
          </w:tcPr>
          <w:p>
            <w:pPr>
              <w:pStyle w:val="Style31"/>
              <w:widowControl/>
              <w:suppressAutoHyphens w:val="true"/>
              <w:spacing w:before="40" w:after="40"/>
              <w:jc w:val="left"/>
              <w:rPr>
                <w:rFonts w:ascii="Times New Roman" w:hAnsi="Times New Roman"/>
                <w:sz w:val="22"/>
                <w:szCs w:val="22"/>
              </w:rPr>
            </w:pPr>
            <w:r>
              <w:rPr>
                <w:rFonts w:eastAsia="Calibri" w:cs=""/>
                <w:kern w:val="0"/>
                <w:sz w:val="22"/>
                <w:szCs w:val="22"/>
                <w:lang w:val="ru-RU" w:eastAsia="en-US" w:bidi="ar-SA"/>
              </w:rPr>
              <w:t>…</w:t>
            </w:r>
          </w:p>
        </w:tc>
      </w:tr>
      <w:tr>
        <w:trPr/>
        <w:tc>
          <w:tcPr>
            <w:tcW w:w="4449" w:type="dxa"/>
            <w:gridSpan w:val="4"/>
            <w:tcBorders/>
          </w:tcPr>
          <w:p>
            <w:pPr>
              <w:pStyle w:val="Style31"/>
              <w:widowControl/>
              <w:suppressAutoHyphens w:val="true"/>
              <w:spacing w:before="40" w:after="40"/>
              <w:jc w:val="left"/>
              <w:rPr>
                <w:rFonts w:ascii="Times New Roman" w:hAnsi="Times New Roman"/>
                <w:sz w:val="22"/>
                <w:szCs w:val="22"/>
              </w:rPr>
            </w:pPr>
            <w:r>
              <w:rPr>
                <w:rFonts w:eastAsia="Calibri" w:cs=""/>
                <w:kern w:val="0"/>
                <w:sz w:val="22"/>
                <w:szCs w:val="22"/>
                <w:lang w:val="ru-RU" w:eastAsia="en-US" w:bidi="ar-SA"/>
              </w:rPr>
              <w:t>Итоговая оценка предпочтительности заявки:</w:t>
            </w:r>
          </w:p>
        </w:tc>
        <w:tc>
          <w:tcPr>
            <w:tcW w:w="9617" w:type="dxa"/>
            <w:gridSpan w:val="3"/>
            <w:tcBorders/>
          </w:tcPr>
          <w:p>
            <w:pPr>
              <w:pStyle w:val="Style31"/>
              <w:widowControl/>
              <w:suppressAutoHyphens w:val="true"/>
              <w:spacing w:before="40" w:after="40"/>
              <w:jc w:val="left"/>
              <w:rPr>
                <w:rFonts w:ascii="Times New Roman" w:hAnsi="Times New Roman"/>
                <w:sz w:val="22"/>
                <w:szCs w:val="22"/>
              </w:rPr>
            </w:pPr>
            <w:r>
              <w:rPr>
                <w:rFonts w:eastAsia="Calibri" w:cs=""/>
                <w:kern w:val="0"/>
                <w:sz w:val="22"/>
                <w:szCs w:val="22"/>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
                <w:kern w:val="0"/>
                <w:sz w:val="22"/>
                <w:szCs w:val="22"/>
                <w:lang w:val="ru-RU" w:eastAsia="en-US" w:bidi="ar-SA"/>
              </w:rPr>
              <w:t>-ой заявки:</w:t>
            </w:r>
          </w:p>
          <w:p>
            <w:pPr>
              <w:pStyle w:val="Style31"/>
              <w:widowControl/>
              <w:suppressAutoHyphens w:val="true"/>
              <w:spacing w:before="40" w:after="40"/>
              <w:jc w:val="center"/>
              <w:rPr>
                <w:rFonts w:ascii="Times New Roman" w:hAnsi="Times New Roman"/>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31"/>
              <w:widowControl/>
              <w:suppressAutoHyphens w:val="true"/>
              <w:spacing w:before="40" w:after="40"/>
              <w:jc w:val="left"/>
              <w:rPr>
                <w:rFonts w:ascii="Times New Roman" w:hAnsi="Times New Roman"/>
                <w:sz w:val="22"/>
                <w:szCs w:val="22"/>
              </w:rPr>
            </w:pPr>
            <w:r>
              <w:rPr>
                <w:rFonts w:eastAsia="Calibri" w:cs=""/>
                <w:kern w:val="0"/>
                <w:sz w:val="22"/>
                <w:szCs w:val="22"/>
                <w:lang w:val="ru-RU" w:eastAsia="en-US" w:bidi="ar-SA"/>
              </w:rPr>
              <w:t>где:</w:t>
            </w:r>
          </w:p>
          <w:p>
            <w:pPr>
              <w:pStyle w:val="Style31"/>
              <w:widowControl/>
              <w:suppressAutoHyphens w:val="true"/>
              <w:spacing w:before="40" w:after="40"/>
              <w:jc w:val="left"/>
              <w:rPr>
                <w:rFonts w:ascii="Times New Roman" w:hAnsi="Times New Roman"/>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
                <w:kern w:val="0"/>
                <w:sz w:val="22"/>
                <w:szCs w:val="22"/>
                <w:lang w:val="ru-RU" w:eastAsia="en-US" w:bidi="ar-SA"/>
              </w:rPr>
              <w:t xml:space="preserve"> – </w:t>
            </w:r>
            <w:r>
              <w:rPr>
                <w:rFonts w:eastAsia="Calibri" w:cs=""/>
                <w:kern w:val="0"/>
                <w:sz w:val="22"/>
                <w:szCs w:val="22"/>
                <w:lang w:val="ru-RU" w:eastAsia="en-US" w:bidi="ar-SA"/>
              </w:rPr>
              <w:t>рассчитанная итоговая оценка предпочтительности в баллах;</w:t>
            </w:r>
          </w:p>
          <w:p>
            <w:pPr>
              <w:pStyle w:val="Style31"/>
              <w:widowControl/>
              <w:suppressAutoHyphens w:val="true"/>
              <w:spacing w:before="40" w:after="40"/>
              <w:jc w:val="left"/>
              <w:rPr>
                <w:rFonts w:ascii="Times New Roman" w:hAnsi="Times New Roman"/>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22"/>
                <w:szCs w:val="22"/>
                <w:lang w:val="ru-RU" w:eastAsia="en-US" w:bidi="ar-SA"/>
              </w:rPr>
              <w:t xml:space="preserve"> – </w:t>
            </w:r>
            <w:r>
              <w:rPr>
                <w:rFonts w:eastAsia="Calibri" w:cs=""/>
                <w:kern w:val="0"/>
                <w:sz w:val="22"/>
                <w:szCs w:val="22"/>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
                <w:kern w:val="0"/>
                <w:sz w:val="22"/>
                <w:szCs w:val="22"/>
                <w:lang w:val="ru-RU" w:eastAsia="en-US" w:bidi="ar-SA"/>
              </w:rPr>
              <w:t>-тому критерию оценки первого уровня в баллах;</w:t>
            </w:r>
          </w:p>
          <w:p>
            <w:pPr>
              <w:pStyle w:val="Style31"/>
              <w:widowControl/>
              <w:suppressAutoHyphens w:val="true"/>
              <w:spacing w:before="40" w:after="40"/>
              <w:jc w:val="left"/>
              <w:rPr>
                <w:rFonts w:ascii="Times New Roman" w:hAnsi="Times New Roman"/>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22"/>
                <w:szCs w:val="22"/>
                <w:lang w:val="ru-RU" w:eastAsia="en-US" w:bidi="ar-SA"/>
              </w:rPr>
              <w:t xml:space="preserve"> – </w:t>
            </w:r>
            <w:r>
              <w:rPr>
                <w:rFonts w:eastAsia="Calibri" w:cs=""/>
                <w:kern w:val="0"/>
                <w:sz w:val="22"/>
                <w:szCs w:val="22"/>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
                <w:kern w:val="0"/>
                <w:sz w:val="22"/>
                <w:szCs w:val="22"/>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
                <w:kern w:val="0"/>
                <w:sz w:val="22"/>
                <w:szCs w:val="22"/>
                <w:lang w:val="ru-RU" w:eastAsia="en-US" w:bidi="ar-SA"/>
              </w:rPr>
              <w:t>-ого критерия оценки первого уровня.</w:t>
            </w:r>
          </w:p>
          <w:p>
            <w:pPr>
              <w:pStyle w:val="Style31"/>
              <w:widowControl/>
              <w:suppressAutoHyphens w:val="true"/>
              <w:spacing w:before="40" w:after="40"/>
              <w:jc w:val="left"/>
              <w:rPr>
                <w:rFonts w:ascii="Times New Roman" w:hAnsi="Times New Roman"/>
                <w:sz w:val="22"/>
                <w:szCs w:val="22"/>
              </w:rPr>
            </w:pPr>
            <w:r>
              <w:rPr>
                <w:rFonts w:eastAsia="Calibri" w:cs=""/>
                <w:i/>
                <w:iCs/>
                <w:kern w:val="0"/>
                <w:sz w:val="22"/>
                <w:szCs w:val="22"/>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7"/>
        <w:rPr>
          <w:rFonts w:ascii="Times New Roman" w:hAnsi="Times New Roman"/>
          <w:sz w:val="22"/>
          <w:szCs w:val="22"/>
        </w:rPr>
      </w:pPr>
      <w:r>
        <w:rPr>
          <w:sz w:val="22"/>
          <w:szCs w:val="22"/>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7"/>
        <w:rPr>
          <w:rFonts w:ascii="Times New Roman" w:hAnsi="Times New Roman"/>
          <w:sz w:val="22"/>
          <w:szCs w:val="22"/>
        </w:rPr>
      </w:pPr>
      <w:r>
        <w:rPr>
          <w:sz w:val="22"/>
          <w:szCs w:val="22"/>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sz w:val="22"/>
          <w:szCs w:val="22"/>
        </w:rPr>
        <w:fldChar w:fldCharType="begin"/>
      </w:r>
      <w:r>
        <w:rPr>
          <w:sz w:val="22"/>
          <w:szCs w:val="22"/>
        </w:rPr>
        <w:instrText xml:space="preserve"> REF _Ref130985951 \r \h </w:instrText>
      </w:r>
      <w:r>
        <w:rPr>
          <w:sz w:val="22"/>
          <w:szCs w:val="22"/>
        </w:rPr>
        <w:fldChar w:fldCharType="separate"/>
      </w:r>
      <w:r>
        <w:rPr>
          <w:sz w:val="22"/>
          <w:szCs w:val="22"/>
        </w:rPr>
        <w:t>4.13</w:t>
      </w:r>
      <w:r>
        <w:rPr>
          <w:sz w:val="22"/>
          <w:szCs w:val="22"/>
        </w:rPr>
        <w:fldChar w:fldCharType="end"/>
      </w:r>
      <w:r>
        <w:rPr>
          <w:sz w:val="22"/>
          <w:szCs w:val="22"/>
        </w:rPr>
        <w:t>.</w:t>
      </w:r>
    </w:p>
    <w:p>
      <w:pPr>
        <w:sectPr>
          <w:headerReference w:type="default" r:id="rId36"/>
          <w:headerReference w:type="first" r:id="rId37"/>
          <w:footerReference w:type="default" r:id="rId38"/>
          <w:footerReference w:type="first" r:id="rId39"/>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7"/>
        <w:rPr>
          <w:rFonts w:ascii="Times New Roman" w:hAnsi="Times New Roman"/>
          <w:sz w:val="22"/>
          <w:szCs w:val="22"/>
        </w:rPr>
      </w:pPr>
      <w:r>
        <w:rPr>
          <w:sz w:val="22"/>
          <w:szCs w:val="22"/>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25"/>
        <w:rPr>
          <w:rFonts w:ascii="Times New Roman" w:hAnsi="Times New Roman"/>
          <w:sz w:val="22"/>
          <w:szCs w:val="22"/>
        </w:rPr>
      </w:pPr>
      <w:bookmarkStart w:id="424" w:name="_Ref125360420"/>
      <w:bookmarkStart w:id="425" w:name="Прил09_ОбоснованиеНМЦ"/>
      <w:bookmarkStart w:id="426" w:name="_Toc230928891"/>
      <w:bookmarkStart w:id="427" w:name="_Toc136249260"/>
      <w:bookmarkStart w:id="428" w:name="_Toc136261689"/>
      <w:bookmarkStart w:id="429" w:name="_Toc136261766"/>
      <w:bookmarkStart w:id="430" w:name="_Toc136249261"/>
      <w:bookmarkStart w:id="431" w:name="_Toc136261690"/>
      <w:bookmarkStart w:id="432" w:name="_Toc136261767"/>
      <w:bookmarkStart w:id="433" w:name="_Toc136249262"/>
      <w:bookmarkStart w:id="434" w:name="_Toc136261691"/>
      <w:bookmarkStart w:id="435" w:name="_Toc136261768"/>
      <w:bookmarkStart w:id="436" w:name="_Toc136249263"/>
      <w:bookmarkStart w:id="437" w:name="_Toc136261692"/>
      <w:bookmarkStart w:id="438" w:name="_Toc136261769"/>
      <w:bookmarkEnd w:id="427"/>
      <w:bookmarkEnd w:id="428"/>
      <w:bookmarkEnd w:id="429"/>
      <w:bookmarkEnd w:id="430"/>
      <w:bookmarkEnd w:id="431"/>
      <w:bookmarkEnd w:id="432"/>
      <w:bookmarkEnd w:id="433"/>
      <w:bookmarkEnd w:id="434"/>
      <w:bookmarkEnd w:id="435"/>
      <w:bookmarkEnd w:id="436"/>
      <w:bookmarkEnd w:id="437"/>
      <w:bookmarkEnd w:id="438"/>
      <w:r>
        <w:rPr>
          <w:sz w:val="22"/>
          <w:szCs w:val="22"/>
        </w:rPr>
        <w:t>Приложение № 9 – Обоснование НМЦ</w:t>
      </w:r>
      <w:bookmarkEnd w:id="424"/>
      <w:bookmarkEnd w:id="425"/>
      <w:bookmarkEnd w:id="426"/>
    </w:p>
    <w:p>
      <w:pPr>
        <w:pStyle w:val="Style26"/>
        <w:rPr>
          <w:rFonts w:ascii="Times New Roman" w:hAnsi="Times New Roman"/>
          <w:sz w:val="22"/>
          <w:szCs w:val="22"/>
        </w:rPr>
      </w:pPr>
      <w:bookmarkStart w:id="439" w:name="_Toc230928892"/>
      <w:r>
        <w:rPr>
          <w:sz w:val="22"/>
          <w:szCs w:val="22"/>
        </w:rPr>
        <w:t>Пояснения к Обоснованию НМЦ</w:t>
      </w:r>
      <w:bookmarkEnd w:id="439"/>
    </w:p>
    <w:p>
      <w:pPr>
        <w:pStyle w:val="Style27"/>
        <w:rPr>
          <w:rFonts w:ascii="Times New Roman" w:hAnsi="Times New Roman"/>
          <w:sz w:val="22"/>
          <w:szCs w:val="22"/>
        </w:rPr>
      </w:pPr>
      <w:r>
        <w:rPr>
          <w:sz w:val="22"/>
          <w:szCs w:val="22"/>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5"/>
        <w:rPr>
          <w:rFonts w:ascii="Times New Roman" w:hAnsi="Times New Roman"/>
          <w:sz w:val="22"/>
          <w:szCs w:val="22"/>
        </w:rPr>
      </w:pPr>
      <w:bookmarkStart w:id="440" w:name="_Toc230928893"/>
      <w:bookmarkStart w:id="441" w:name="Прил10_ЗаявкаНаАккредитацию"/>
      <w:bookmarkEnd w:id="441"/>
      <w:r>
        <w:rPr>
          <w:sz w:val="22"/>
          <w:szCs w:val="22"/>
        </w:rPr>
        <w:t>Приложение № 10 – Форма Заявки на аккредитацию</w:t>
      </w:r>
      <w:bookmarkEnd w:id="440"/>
    </w:p>
    <w:p>
      <w:pPr>
        <w:pStyle w:val="Style26"/>
        <w:rPr>
          <w:rFonts w:ascii="Times New Roman" w:hAnsi="Times New Roman"/>
          <w:sz w:val="22"/>
          <w:szCs w:val="22"/>
        </w:rPr>
      </w:pPr>
      <w:bookmarkStart w:id="442" w:name="_Toc230928894"/>
      <w:r>
        <w:rPr>
          <w:sz w:val="22"/>
          <w:szCs w:val="22"/>
        </w:rPr>
        <w:t>Пояснения к форме Заявки на аккредитацию</w:t>
      </w:r>
      <w:bookmarkEnd w:id="442"/>
    </w:p>
    <w:p>
      <w:pPr>
        <w:pStyle w:val="Style27"/>
        <w:rPr>
          <w:rFonts w:ascii="Times New Roman" w:hAnsi="Times New Roman"/>
          <w:sz w:val="22"/>
          <w:szCs w:val="22"/>
        </w:rPr>
      </w:pPr>
      <w:r>
        <w:rPr>
          <w:sz w:val="22"/>
          <w:szCs w:val="22"/>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7"/>
        <w:rPr>
          <w:rFonts w:ascii="Times New Roman" w:hAnsi="Times New Roman"/>
          <w:sz w:val="22"/>
          <w:szCs w:val="22"/>
        </w:rPr>
      </w:pPr>
      <w:r>
        <w:rPr>
          <w:sz w:val="22"/>
          <w:szCs w:val="22"/>
        </w:rPr>
        <w:t xml:space="preserve">Заявка на аккредитацию предоставляется (в установленных Документацией о закупке случаях) Участником в составе своей заявки </w:t>
      </w:r>
      <w:bookmarkStart w:id="443" w:name="_Hlk207300788"/>
      <w:r>
        <w:rPr>
          <w:sz w:val="22"/>
          <w:szCs w:val="22"/>
        </w:rPr>
        <w:t xml:space="preserve">только в электронном виде в формате </w:t>
      </w:r>
      <w:r>
        <w:rPr>
          <w:sz w:val="22"/>
          <w:szCs w:val="22"/>
          <w:lang w:val="en-US"/>
        </w:rPr>
        <w:t>Microsoft</w:t>
      </w:r>
      <w:r>
        <w:rPr>
          <w:sz w:val="22"/>
          <w:szCs w:val="22"/>
        </w:rPr>
        <w:t xml:space="preserve"> </w:t>
      </w:r>
      <w:r>
        <w:rPr>
          <w:sz w:val="22"/>
          <w:szCs w:val="22"/>
          <w:lang w:val="en-US"/>
        </w:rPr>
        <w:t>Excel</w:t>
      </w:r>
      <w:r>
        <w:rPr>
          <w:sz w:val="22"/>
          <w:szCs w:val="22"/>
        </w:rPr>
        <w:t xml:space="preserve"> (*.</w:t>
      </w:r>
      <w:r>
        <w:rPr>
          <w:sz w:val="22"/>
          <w:szCs w:val="22"/>
          <w:lang w:val="en-US"/>
        </w:rPr>
        <w:t>xlsx</w:t>
      </w:r>
      <w:r>
        <w:rPr>
          <w:sz w:val="22"/>
          <w:szCs w:val="22"/>
        </w:rPr>
        <w:t>))</w:t>
      </w:r>
      <w:bookmarkEnd w:id="443"/>
      <w:r>
        <w:rPr>
          <w:sz w:val="22"/>
          <w:szCs w:val="22"/>
        </w:rPr>
        <w:t>.</w:t>
      </w:r>
    </w:p>
    <w:p>
      <w:pPr>
        <w:pStyle w:val="Style31"/>
        <w:jc w:val="center"/>
        <w:rPr>
          <w:rFonts w:ascii="Times New Roman" w:hAnsi="Times New Roman"/>
          <w:sz w:val="22"/>
          <w:szCs w:val="22"/>
        </w:rPr>
      </w:pPr>
      <w:r>
        <w:rPr/>
        <w:object>
          <v:shapetype id="_x0000_tole_rId40" coordsize="21600,21600" o:spt="ole_rId4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0" type="_x0000_tole_rId40" style="width:79.25pt;height:50.2pt;mso-wrap-distance-right:0pt" filled="f" o:ole="">
            <v:imagedata r:id="rId41" o:title=""/>
          </v:shape>
          <o:OLEObject Type="Embed" ProgID="Excel.Sheet.12" ShapeID="ole_rId40" DrawAspect="Icon" ObjectID="_1761352434" r:id="rId40"/>
        </w:object>
      </w:r>
    </w:p>
    <w:p>
      <w:pPr>
        <w:pStyle w:val="Style25"/>
        <w:rPr>
          <w:rFonts w:ascii="Times New Roman" w:hAnsi="Times New Roman"/>
          <w:sz w:val="22"/>
          <w:szCs w:val="22"/>
        </w:rPr>
      </w:pPr>
      <w:bookmarkStart w:id="444" w:name="_Toc230928895"/>
      <w:bookmarkStart w:id="445" w:name="Прил11_Форма_данных_бухотчетность"/>
      <w:r>
        <w:rPr>
          <w:sz w:val="22"/>
          <w:szCs w:val="22"/>
        </w:rPr>
        <w:t xml:space="preserve">Приложение № 11 </w:t>
      </w:r>
      <w:bookmarkEnd w:id="445"/>
      <w:r>
        <w:rPr>
          <w:sz w:val="22"/>
          <w:szCs w:val="22"/>
        </w:rPr>
        <w:t>– форма Данных бухгалтерской (финансовой) отчетности</w:t>
      </w:r>
      <w:bookmarkEnd w:id="444"/>
    </w:p>
    <w:p>
      <w:pPr>
        <w:pStyle w:val="Style26"/>
        <w:rPr>
          <w:rFonts w:ascii="Times New Roman" w:hAnsi="Times New Roman"/>
          <w:sz w:val="22"/>
          <w:szCs w:val="22"/>
        </w:rPr>
      </w:pPr>
      <w:bookmarkStart w:id="446" w:name="_Toc230928896"/>
      <w:r>
        <w:rPr>
          <w:sz w:val="22"/>
          <w:szCs w:val="22"/>
        </w:rPr>
        <w:t>Пояснения к форме Данных бухгалтерской (финансовой) отчетности</w:t>
      </w:r>
      <w:bookmarkEnd w:id="446"/>
      <w:r>
        <w:rPr>
          <w:sz w:val="22"/>
          <w:szCs w:val="22"/>
        </w:rPr>
        <w:t xml:space="preserve"> </w:t>
      </w:r>
    </w:p>
    <w:p>
      <w:pPr>
        <w:pStyle w:val="Style27"/>
        <w:rPr>
          <w:rFonts w:ascii="Times New Roman" w:hAnsi="Times New Roman"/>
          <w:sz w:val="22"/>
          <w:szCs w:val="22"/>
        </w:rPr>
      </w:pPr>
      <w:r>
        <w:rPr>
          <w:sz w:val="22"/>
          <w:szCs w:val="22"/>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rFonts w:ascii="Times New Roman" w:hAnsi="Times New Roman"/>
          <w:sz w:val="22"/>
          <w:szCs w:val="22"/>
        </w:rPr>
      </w:pPr>
      <w:r>
        <w:rPr>
          <w:sz w:val="22"/>
          <w:szCs w:val="22"/>
        </w:rPr>
      </w:r>
      <w:bookmarkStart w:id="447" w:name="_MON_1821256687"/>
      <w:bookmarkStart w:id="448" w:name="_MON_1821256687"/>
      <w:bookmarkEnd w:id="448"/>
    </w:p>
    <w:p>
      <w:pPr>
        <w:pStyle w:val="Normal"/>
        <w:jc w:val="center"/>
        <w:rPr>
          <w:rFonts w:ascii="Times New Roman" w:hAnsi="Times New Roman"/>
          <w:sz w:val="22"/>
          <w:szCs w:val="22"/>
        </w:rPr>
      </w:pPr>
      <w:bookmarkStart w:id="449" w:name="_MON_1821256687_Копия_1"/>
      <w:bookmarkEnd w:id="449"/>
      <w:r>
        <w:rPr/>
        <w:object>
          <v:shapetype id="_x0000_tole_rId42" coordsize="21600,21600" o:spt="ole_rId4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2" type="_x0000_tole_rId42" style="width:79.25pt;height:50.2pt;mso-wrap-distance-right:0pt" filled="f" o:ole="">
            <v:imagedata r:id="rId43" o:title=""/>
          </v:shape>
          <o:OLEObject Type="Embed" ProgID="Word.Document.12" ShapeID="ole_rId42" DrawAspect="Icon" ObjectID="_1704040932" r:id="rId42"/>
        </w:object>
      </w:r>
    </w:p>
    <w:p>
      <w:pPr>
        <w:pStyle w:val="Normal"/>
        <w:jc w:val="center"/>
        <w:rPr>
          <w:rFonts w:ascii="Times New Roman" w:hAnsi="Times New Roman"/>
          <w:sz w:val="22"/>
          <w:szCs w:val="22"/>
        </w:rPr>
      </w:pPr>
      <w:r>
        <w:rPr>
          <w:sz w:val="22"/>
          <w:szCs w:val="22"/>
        </w:rPr>
      </w:r>
    </w:p>
    <w:sectPr>
      <w:headerReference w:type="default" r:id="rId44"/>
      <w:headerReference w:type="first" r:id="rId45"/>
      <w:footerReference w:type="default" r:id="rId46"/>
      <w:footerReference w:type="first" r:id="rId4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egoe UI">
    <w:charset w:val="01"/>
    <w:family w:val="roman"/>
    <w:pitch w:val="variable"/>
  </w:font>
  <w:font w:name="Calibri">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97792465"/>
    </w:sdtPr>
    <w:sdtContent>
      <w:p>
        <w:pPr>
          <w:pStyle w:val="Footer"/>
          <w:spacing w:before="120" w:after="0"/>
          <w:rPr>
            <w:sz w:val="18"/>
            <w:szCs w:val="18"/>
          </w:rPr>
        </w:pPr>
        <w:r>
          <w:rPr/>
          <w:fldChar w:fldCharType="begin"/>
        </w:r>
        <w:r>
          <w:rPr/>
          <w:instrText xml:space="preserve"> PAGE </w:instrText>
        </w:r>
        <w:r>
          <w:rPr/>
          <w:fldChar w:fldCharType="separate"/>
        </w:r>
        <w:r>
          <w:rPr/>
          <w:t>12</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26239113"/>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36377683"/>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14915536"/>
    </w:sdtPr>
    <w:sdtContent>
      <w:p>
        <w:pPr>
          <w:pStyle w:val="Footer"/>
          <w:spacing w:before="120" w:after="0"/>
          <w:rPr/>
        </w:pPr>
        <w:r>
          <w:rPr/>
          <w:fldChar w:fldCharType="begin"/>
        </w:r>
        <w:r>
          <w:rPr/>
          <w:instrText xml:space="preserve"> PAGE </w:instrText>
        </w:r>
        <w:r>
          <w:rPr/>
          <w:fldChar w:fldCharType="separate"/>
        </w:r>
        <w:r>
          <w:rPr/>
          <w:t>51</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55673109"/>
    </w:sdtPr>
    <w:sdtContent>
      <w:p>
        <w:pPr>
          <w:pStyle w:val="Footer"/>
          <w:spacing w:before="120" w:after="0"/>
          <w:rPr/>
        </w:pPr>
        <w:r>
          <w:rPr/>
          <w:fldChar w:fldCharType="begin"/>
        </w:r>
        <w:r>
          <w:rPr/>
          <w:instrText xml:space="preserve"> PAGE </w:instrText>
        </w:r>
        <w:r>
          <w:rPr/>
          <w:fldChar w:fldCharType="separate"/>
        </w:r>
        <w:r>
          <w:rPr/>
          <w:t>56</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08013635"/>
    </w:sdtPr>
    <w:sdtContent>
      <w:p>
        <w:pPr>
          <w:pStyle w:val="Footer"/>
          <w:spacing w:before="120" w:after="0"/>
          <w:rPr/>
        </w:pPr>
        <w:r>
          <w:rPr/>
          <w:fldChar w:fldCharType="begin"/>
        </w:r>
        <w:r>
          <w:rPr/>
          <w:instrText xml:space="preserve"> PAGE </w:instrText>
        </w:r>
        <w:r>
          <w:rPr/>
          <w:fldChar w:fldCharType="separate"/>
        </w:r>
        <w:r>
          <w:rPr/>
          <w:t>62</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77761533"/>
    </w:sdtPr>
    <w:sdtContent>
      <w:p>
        <w:pPr>
          <w:pStyle w:val="Footer"/>
          <w:spacing w:before="120" w:after="0"/>
          <w:rPr>
            <w:sz w:val="16"/>
            <w:szCs w:val="16"/>
          </w:rPr>
        </w:pPr>
        <w:r>
          <w:rPr/>
          <w:fldChar w:fldCharType="begin"/>
        </w:r>
        <w:r>
          <w:rPr/>
          <w:instrText xml:space="preserve"> PAGE </w:instrText>
        </w:r>
        <w:r>
          <w:rPr/>
          <w:fldChar w:fldCharType="separate"/>
        </w:r>
        <w:r>
          <w:rPr/>
          <w:t>67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12971359"/>
    </w:sdtPr>
    <w:sdtContent>
      <w:p>
        <w:pPr>
          <w:pStyle w:val="Footer"/>
          <w:spacing w:before="120" w:after="0"/>
          <w:rPr>
            <w:sz w:val="16"/>
            <w:szCs w:val="16"/>
          </w:rPr>
        </w:pPr>
        <w:r>
          <w:rPr/>
          <w:fldChar w:fldCharType="begin"/>
        </w:r>
        <w:r>
          <w:rPr/>
          <w:instrText xml:space="preserve"> PAGE </w:instrText>
        </w:r>
        <w:r>
          <w:rPr/>
          <w:fldChar w:fldCharType="separate"/>
        </w:r>
        <w:r>
          <w:rPr/>
          <w:t>70</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3"/>
        <w:spacing w:before="80" w:after="0"/>
        <w:ind w:hanging="567" w:left="567"/>
        <w:jc w:val="both"/>
        <w:rPr/>
      </w:pPr>
      <w:r>
        <w:rPr>
          <w:rStyle w:val="Style13"/>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33"/>
        <w:spacing w:before="80" w:after="0"/>
        <w:ind w:hanging="567" w:left="567"/>
        <w:jc w:val="both"/>
        <w:rPr/>
      </w:pPr>
      <w:r>
        <w:rPr>
          <w:rStyle w:val="Style13"/>
        </w:rPr>
        <w:footnoteRef/>
      </w:r>
      <w:r>
        <w:rPr/>
        <w:tab/>
        <w:t>Определенные в соответствии с Законом 422-ФЗ.</w:t>
      </w:r>
    </w:p>
  </w:footnote>
  <w:footnote w:id="4">
    <w:p>
      <w:pPr>
        <w:pStyle w:val="Style33"/>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3"/>
        <w:spacing w:before="80" w:after="0"/>
        <w:ind w:hanging="567" w:left="567"/>
        <w:jc w:val="both"/>
        <w:rPr/>
      </w:pPr>
      <w:r>
        <w:rPr>
          <w:rStyle w:val="Style13"/>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33"/>
        <w:spacing w:before="80" w:after="0"/>
        <w:ind w:hanging="567" w:left="567"/>
        <w:jc w:val="both"/>
        <w:rPr/>
      </w:pPr>
      <w:r>
        <w:rPr>
          <w:rStyle w:val="Style13"/>
        </w:rPr>
        <w:footnoteRef/>
      </w:r>
      <w:r>
        <w:rPr/>
        <w:tab/>
        <w:t>С учетом пункта 4.13.5.</w:t>
      </w:r>
    </w:p>
  </w:footnote>
  <w:footnote w:id="7">
    <w:p>
      <w:pPr>
        <w:pStyle w:val="Style33"/>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33"/>
        <w:spacing w:before="80" w:after="0"/>
        <w:ind w:hanging="567" w:left="567"/>
        <w:jc w:val="both"/>
        <w:rPr/>
      </w:pPr>
      <w:r>
        <w:rPr>
          <w:rStyle w:val="Style13"/>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33"/>
        <w:spacing w:before="80" w:after="0"/>
        <w:ind w:hanging="567" w:left="567"/>
        <w:jc w:val="both"/>
        <w:rPr/>
      </w:pPr>
      <w:r>
        <w:rPr>
          <w:rStyle w:val="Style13"/>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33"/>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33"/>
        <w:spacing w:before="80" w:after="0"/>
        <w:ind w:hanging="567" w:left="567"/>
        <w:jc w:val="both"/>
        <w:rPr/>
      </w:pPr>
      <w:r>
        <w:rPr>
          <w:rStyle w:val="Style13"/>
        </w:rPr>
        <w:footnoteRef/>
      </w:r>
      <w:r>
        <w:rPr/>
        <w:tab/>
        <w:t>https://minfin.gov.ru/ru/perfomance/tax_relations/policy/bankwarranty/</w:t>
      </w:r>
    </w:p>
  </w:footnote>
  <w:footnote w:id="12">
    <w:p>
      <w:pPr>
        <w:pStyle w:val="Normal"/>
        <w:spacing w:before="120" w:after="0"/>
        <w:jc w:val="both"/>
        <w:rPr>
          <w:sz w:val="20"/>
          <w:szCs w:val="20"/>
        </w:rPr>
      </w:pPr>
      <w:r>
        <w:rPr>
          <w:rStyle w:val="Style13"/>
        </w:rPr>
        <w:footnoteRef/>
      </w:r>
      <w:r>
        <w:rPr/>
        <w:t xml:space="preserve"> </w:t>
      </w:r>
      <w:r>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3">
    <w:p>
      <w:pPr>
        <w:pStyle w:val="Style33"/>
        <w:spacing w:before="80" w:after="0"/>
        <w:ind w:hanging="567" w:left="567"/>
        <w:jc w:val="both"/>
        <w:rPr/>
      </w:pPr>
      <w:r>
        <w:rPr>
          <w:rStyle w:val="Style13"/>
        </w:rPr>
        <w:footnoteRef/>
      </w:r>
      <w:r>
        <w:rPr/>
        <w:tab/>
        <w:t>Коллективный участник предоставляет указанные документы на каждого члена.</w:t>
      </w:r>
    </w:p>
  </w:footnote>
  <w:footnote w:id="14">
    <w:p>
      <w:pPr>
        <w:pStyle w:val="Style33"/>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Победителя.</w:t>
      </w:r>
    </w:p>
  </w:footnote>
  <w:footnote w:id="15">
    <w:p>
      <w:pPr>
        <w:pStyle w:val="Style33"/>
        <w:spacing w:before="80" w:after="0"/>
        <w:ind w:hanging="567" w:left="567"/>
        <w:jc w:val="both"/>
        <w:rPr/>
      </w:pPr>
      <w:r>
        <w:rPr>
          <w:rStyle w:val="Style13"/>
        </w:rPr>
        <w:footnoteRef/>
      </w:r>
      <w:bookmarkStart w:id="450"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50"/>
    </w:p>
  </w:footnote>
  <w:footnote w:id="16">
    <w:p>
      <w:pPr>
        <w:pStyle w:val="Style33"/>
        <w:spacing w:before="80" w:after="0"/>
        <w:ind w:hanging="567" w:left="567"/>
        <w:jc w:val="both"/>
        <w:rPr/>
      </w:pPr>
      <w:r>
        <w:rPr>
          <w:rStyle w:val="Style13"/>
        </w:rPr>
        <w:footnoteRef/>
      </w:r>
      <w:bookmarkStart w:id="451" w:name="_Hlk139028803_Копия_1_Копия_1_Копия_1_Ко"/>
      <w:bookmarkStart w:id="452"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51"/>
      <w:bookmarkEnd w:id="452"/>
    </w:p>
  </w:footnote>
  <w:footnote w:id="17">
    <w:p>
      <w:pPr>
        <w:pStyle w:val="ListParagraph"/>
        <w:widowControl w:val="false"/>
        <w:tabs>
          <w:tab w:val="clear" w:pos="708"/>
          <w:tab w:val="left" w:pos="0" w:leader="none"/>
        </w:tabs>
        <w:spacing w:before="20" w:after="20"/>
        <w:ind w:left="0"/>
        <w:contextualSpacing/>
        <w:jc w:val="both"/>
        <w:rPr>
          <w:rStyle w:val="Style22"/>
          <w:b w:val="false"/>
          <w:sz w:val="20"/>
          <w:szCs w:val="20"/>
        </w:rPr>
      </w:pPr>
      <w:r>
        <w:rPr>
          <w:rStyle w:val="Style13"/>
        </w:rPr>
        <w:footnoteRef/>
      </w:r>
      <w:r>
        <w:rPr>
          <w:rFonts w:eastAsia="Times New Roman"/>
          <w:sz w:val="20"/>
          <w:szCs w:val="20"/>
          <w:vertAlign w:val="superscript"/>
        </w:rPr>
        <w:t xml:space="preserve">. </w:t>
      </w:r>
      <w:r>
        <w:rPr>
          <w:rFonts w:eastAsia="Times New Roman"/>
          <w:sz w:val="20"/>
          <w:szCs w:val="20"/>
        </w:rPr>
        <w:t>Не требуется членство в СРО в области строительства Участникам закупки:</w:t>
      </w:r>
    </w:p>
    <w:p>
      <w:pPr>
        <w:pStyle w:val="ListParagraph"/>
        <w:widowControl w:val="false"/>
        <w:numPr>
          <w:ilvl w:val="0"/>
          <w:numId w:val="24"/>
        </w:numPr>
        <w:tabs>
          <w:tab w:val="clear" w:pos="708"/>
          <w:tab w:val="left" w:pos="142" w:leader="none"/>
        </w:tabs>
        <w:spacing w:before="20" w:after="20"/>
        <w:contextualSpacing/>
        <w:jc w:val="both"/>
        <w:rPr>
          <w:rFonts w:eastAsia="Times New Roman"/>
          <w:sz w:val="20"/>
          <w:szCs w:val="20"/>
        </w:rPr>
      </w:pPr>
      <w:r>
        <w:rPr>
          <w:rFonts w:eastAsia="Times New Roman"/>
          <w:sz w:val="20"/>
          <w:szCs w:val="20"/>
        </w:rPr>
        <w:t>перечисленным в ч. 2.2 ст. 52 ГрК РФ;</w:t>
      </w:r>
    </w:p>
    <w:p>
      <w:pPr>
        <w:pStyle w:val="ListParagraph"/>
        <w:widowControl w:val="false"/>
        <w:numPr>
          <w:ilvl w:val="0"/>
          <w:numId w:val="24"/>
        </w:numPr>
        <w:tabs>
          <w:tab w:val="clear" w:pos="708"/>
          <w:tab w:val="left" w:pos="142" w:leader="none"/>
        </w:tabs>
        <w:spacing w:before="20" w:after="20"/>
        <w:contextualSpacing/>
        <w:jc w:val="both"/>
        <w:rPr>
          <w:rFonts w:eastAsia="Times New Roman"/>
          <w:sz w:val="20"/>
          <w:szCs w:val="20"/>
        </w:rPr>
      </w:pPr>
      <w:r>
        <w:rPr>
          <w:rFonts w:eastAsia="Times New Roman"/>
          <w:sz w:val="20"/>
          <w:szCs w:val="20"/>
        </w:rPr>
        <w:t>предложивших цену договора, не превышающую 10 млн. руб., в соответствии с ч. 2.1 ст. 52 ГрК РФ</w:t>
      </w:r>
    </w:p>
  </w:footnote>
  <w:footnote w:id="18">
    <w:p>
      <w:pPr>
        <w:pStyle w:val="Style33"/>
        <w:spacing w:before="80" w:after="0"/>
        <w:ind w:hanging="567" w:left="567"/>
        <w:jc w:val="both"/>
        <w:rPr/>
      </w:pPr>
      <w:r>
        <w:rPr>
          <w:rStyle w:val="Style13"/>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5"/>
      <w:numFmt w:val="decimal"/>
      <w:lvlText w:val="%1."/>
      <w:lvlJc w:val="left"/>
      <w:pPr>
        <w:tabs>
          <w:tab w:val="num" w:pos="1134"/>
        </w:tabs>
        <w:ind w:left="1134" w:hanging="1134"/>
      </w:pPr>
      <w:rPr/>
    </w:lvl>
    <w:lvl w:ilvl="1">
      <w:start w:val="1"/>
      <w:pStyle w:val="Style26"/>
      <w:numFmt w:val="decimal"/>
      <w:lvlText w:val="%1.%2"/>
      <w:lvlJc w:val="left"/>
      <w:pPr>
        <w:tabs>
          <w:tab w:val="num" w:pos="1134"/>
        </w:tabs>
        <w:ind w:left="1134" w:hanging="1134"/>
      </w:pPr>
      <w:rPr/>
    </w:lvl>
    <w:lvl w:ilvl="2">
      <w:start w:val="1"/>
      <w:pStyle w:val="Style27"/>
      <w:numFmt w:val="decimal"/>
      <w:lvlText w:val="%1.%2.%3"/>
      <w:lvlJc w:val="left"/>
      <w:pPr>
        <w:tabs>
          <w:tab w:val="num" w:pos="1134"/>
        </w:tabs>
        <w:ind w:left="1134" w:hanging="1134"/>
      </w:pPr>
      <w:rPr>
        <w:sz w:val="22"/>
        <w:szCs w:val="22"/>
      </w:rPr>
    </w:lvl>
    <w:lvl w:ilvl="3">
      <w:start w:val="1"/>
      <w:pStyle w:val="Style28"/>
      <w:numFmt w:val="russianLower"/>
      <w:lvlText w:val="%4)"/>
      <w:lvlJc w:val="left"/>
      <w:pPr>
        <w:tabs>
          <w:tab w:val="num" w:pos="1701"/>
        </w:tabs>
        <w:ind w:left="1701" w:hanging="567"/>
      </w:pPr>
      <w:rPr/>
    </w:lvl>
    <w:lvl w:ilvl="4">
      <w:start w:val="1"/>
      <w:pStyle w:val="Style2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1637"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russianLower"/>
      <w:lvlText w:val="%1)"/>
      <w:lvlJc w:val="left"/>
      <w:pPr>
        <w:tabs>
          <w:tab w:val="num" w:pos="0"/>
        </w:tabs>
        <w:ind w:left="1918" w:hanging="360"/>
      </w:pPr>
      <w:rPr/>
    </w:lvl>
    <w:lvl w:ilvl="1">
      <w:start w:val="1"/>
      <w:numFmt w:val="lowerLetter"/>
      <w:lvlText w:val="%2."/>
      <w:lvlJc w:val="left"/>
      <w:pPr>
        <w:tabs>
          <w:tab w:val="num" w:pos="0"/>
        </w:tabs>
        <w:ind w:left="2638" w:hanging="360"/>
      </w:pPr>
      <w:rPr/>
    </w:lvl>
    <w:lvl w:ilvl="2">
      <w:start w:val="1"/>
      <w:numFmt w:val="lowerRoman"/>
      <w:lvlText w:val="%3."/>
      <w:lvlJc w:val="right"/>
      <w:pPr>
        <w:tabs>
          <w:tab w:val="num" w:pos="0"/>
        </w:tabs>
        <w:ind w:left="3358" w:hanging="180"/>
      </w:pPr>
      <w:rPr/>
    </w:lvl>
    <w:lvl w:ilvl="3">
      <w:start w:val="1"/>
      <w:numFmt w:val="decimal"/>
      <w:lvlText w:val="%4."/>
      <w:lvlJc w:val="left"/>
      <w:pPr>
        <w:tabs>
          <w:tab w:val="num" w:pos="0"/>
        </w:tabs>
        <w:ind w:left="4078" w:hanging="360"/>
      </w:pPr>
      <w:rPr/>
    </w:lvl>
    <w:lvl w:ilvl="4">
      <w:start w:val="1"/>
      <w:numFmt w:val="lowerLetter"/>
      <w:lvlText w:val="%5."/>
      <w:lvlJc w:val="left"/>
      <w:pPr>
        <w:tabs>
          <w:tab w:val="num" w:pos="0"/>
        </w:tabs>
        <w:ind w:left="4798" w:hanging="360"/>
      </w:pPr>
      <w:rPr/>
    </w:lvl>
    <w:lvl w:ilvl="5">
      <w:start w:val="1"/>
      <w:numFmt w:val="lowerRoman"/>
      <w:lvlText w:val="%6."/>
      <w:lvlJc w:val="right"/>
      <w:pPr>
        <w:tabs>
          <w:tab w:val="num" w:pos="0"/>
        </w:tabs>
        <w:ind w:left="5518" w:hanging="180"/>
      </w:pPr>
      <w:rPr/>
    </w:lvl>
    <w:lvl w:ilvl="6">
      <w:start w:val="1"/>
      <w:numFmt w:val="decimal"/>
      <w:lvlText w:val="%7."/>
      <w:lvlJc w:val="left"/>
      <w:pPr>
        <w:tabs>
          <w:tab w:val="num" w:pos="0"/>
        </w:tabs>
        <w:ind w:left="6238" w:hanging="360"/>
      </w:pPr>
      <w:rPr/>
    </w:lvl>
    <w:lvl w:ilvl="7">
      <w:start w:val="1"/>
      <w:numFmt w:val="lowerLetter"/>
      <w:lvlText w:val="%8."/>
      <w:lvlJc w:val="left"/>
      <w:pPr>
        <w:tabs>
          <w:tab w:val="num" w:pos="0"/>
        </w:tabs>
        <w:ind w:left="6958" w:hanging="360"/>
      </w:pPr>
      <w:rPr/>
    </w:lvl>
    <w:lvl w:ilvl="8">
      <w:start w:val="1"/>
      <w:numFmt w:val="lowerRoman"/>
      <w:lvlText w:val="%9."/>
      <w:lvlJc w:val="right"/>
      <w:pPr>
        <w:tabs>
          <w:tab w:val="num" w:pos="0"/>
        </w:tabs>
        <w:ind w:left="7678" w:hanging="180"/>
      </w:pPr>
      <w:rPr/>
    </w:lvl>
  </w:abstractNum>
  <w:abstractNum w:abstractNumId="19">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2">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3">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2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Style19" w:customStyle="1">
    <w:name w:val="РГ_ЕПоЗ_а) Знак"/>
    <w:basedOn w:val="DefaultParagraphFont"/>
    <w:link w:val="Style35"/>
    <w:qFormat/>
    <w:rsid w:val="006a70de"/>
    <w:rPr>
      <w:rFonts w:eastAsia="Calibri" w:cs="Times New Roman"/>
      <w:sz w:val="28"/>
      <w:szCs w:val="28"/>
    </w:rPr>
  </w:style>
  <w:style w:type="character" w:styleId="-" w:customStyle="1">
    <w:name w:val="РГ_ЕПоЗ_- Знак"/>
    <w:basedOn w:val="DefaultParagraphFont"/>
    <w:link w:val="-1"/>
    <w:qFormat/>
    <w:rsid w:val="006a70de"/>
    <w:rPr>
      <w:rFonts w:eastAsia="Times New Roman" w:cs="Times New Roman"/>
      <w:sz w:val="28"/>
      <w:szCs w:val="20"/>
      <w:lang w:eastAsia="ru-RU"/>
    </w:rPr>
  </w:style>
  <w:style w:type="character" w:styleId="Style20">
    <w:name w:val="Ссылка указателя"/>
    <w:qFormat/>
    <w:rPr/>
  </w:style>
  <w:style w:type="character" w:styleId="Style21">
    <w:name w:val="Символ концевой сноски"/>
    <w:qFormat/>
    <w:rPr>
      <w:vertAlign w:val="superscript"/>
    </w:rPr>
  </w:style>
  <w:style w:type="character" w:styleId="EndnoteReference">
    <w:name w:val="Endnote Reference"/>
    <w:rPr>
      <w:vertAlign w:val="superscript"/>
    </w:rPr>
  </w:style>
  <w:style w:type="character" w:styleId="Style22">
    <w:name w:val="комментарий"/>
    <w:qFormat/>
    <w:rPr>
      <w:b/>
      <w:i/>
      <w:shd w:fill="FFFF99" w:val="clear"/>
    </w:rPr>
  </w:style>
  <w:style w:type="paragraph" w:styleId="Style2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4">
    <w:name w:val="Указатель"/>
    <w:basedOn w:val="Normal"/>
    <w:qFormat/>
    <w:pPr>
      <w:suppressLineNumbers/>
    </w:pPr>
    <w:rPr>
      <w:rFonts w:cs="Arial Unicode MS"/>
    </w:rPr>
  </w:style>
  <w:style w:type="paragraph" w:styleId="Style25" w:customStyle="1">
    <w:name w:val="[РГ] Раздел"/>
    <w:basedOn w:val="Normal"/>
    <w:next w:val="Style26"/>
    <w:qFormat/>
    <w:rsid w:val="00c95e18"/>
    <w:pPr>
      <w:keepNext w:val="true"/>
      <w:pageBreakBefore/>
      <w:numPr>
        <w:ilvl w:val="0"/>
        <w:numId w:val="1"/>
      </w:numPr>
      <w:spacing w:before="0" w:after="360"/>
      <w:jc w:val="both"/>
      <w:outlineLvl w:val="0"/>
    </w:pPr>
    <w:rPr>
      <w:b/>
      <w:bCs/>
      <w:caps/>
    </w:rPr>
  </w:style>
  <w:style w:type="paragraph" w:styleId="Style26" w:customStyle="1">
    <w:name w:val="[РГ] Подраздел"/>
    <w:basedOn w:val="Normal"/>
    <w:next w:val="Style27"/>
    <w:qFormat/>
    <w:rsid w:val="00891546"/>
    <w:pPr>
      <w:keepNext w:val="true"/>
      <w:numPr>
        <w:ilvl w:val="1"/>
        <w:numId w:val="1"/>
      </w:numPr>
      <w:spacing w:before="360" w:after="0"/>
      <w:jc w:val="both"/>
      <w:outlineLvl w:val="1"/>
    </w:pPr>
    <w:rPr>
      <w:b/>
      <w:bCs/>
    </w:rPr>
  </w:style>
  <w:style w:type="paragraph" w:styleId="Style27" w:customStyle="1">
    <w:name w:val="[РГ] Пункт"/>
    <w:basedOn w:val="Normal"/>
    <w:qFormat/>
    <w:rsid w:val="00891546"/>
    <w:pPr>
      <w:numPr>
        <w:ilvl w:val="2"/>
        <w:numId w:val="1"/>
      </w:numPr>
      <w:jc w:val="both"/>
      <w:outlineLvl w:val="2"/>
    </w:pPr>
    <w:rPr/>
  </w:style>
  <w:style w:type="paragraph" w:styleId="Style28" w:customStyle="1">
    <w:name w:val="[РГ] Подпункт"/>
    <w:basedOn w:val="Normal"/>
    <w:qFormat/>
    <w:rsid w:val="00891546"/>
    <w:pPr>
      <w:numPr>
        <w:ilvl w:val="3"/>
        <w:numId w:val="1"/>
      </w:numPr>
      <w:jc w:val="both"/>
      <w:outlineLvl w:val="3"/>
    </w:pPr>
    <w:rPr/>
  </w:style>
  <w:style w:type="paragraph" w:styleId="Style29" w:customStyle="1">
    <w:name w:val="[РГ] Перечисление"/>
    <w:basedOn w:val="Normal"/>
    <w:qFormat/>
    <w:rsid w:val="00891546"/>
    <w:pPr>
      <w:numPr>
        <w:ilvl w:val="4"/>
        <w:numId w:val="1"/>
      </w:numPr>
      <w:jc w:val="both"/>
      <w:outlineLvl w:val="4"/>
    </w:pPr>
    <w:rPr/>
  </w:style>
  <w:style w:type="paragraph" w:styleId="Style30" w:customStyle="1">
    <w:name w:val="[РГ] Заголовок"/>
    <w:basedOn w:val="Normal"/>
    <w:next w:val="Style31"/>
    <w:qFormat/>
    <w:rsid w:val="00f87384"/>
    <w:pPr>
      <w:keepNext w:val="true"/>
      <w:pageBreakBefore/>
      <w:spacing w:before="0" w:after="360"/>
      <w:jc w:val="both"/>
    </w:pPr>
    <w:rPr>
      <w:b/>
      <w:bCs/>
      <w:caps/>
    </w:rPr>
  </w:style>
  <w:style w:type="paragraph" w:styleId="Style31" w:customStyle="1">
    <w:name w:val="[РГ] Текст"/>
    <w:basedOn w:val="Normal"/>
    <w:qFormat/>
    <w:rsid w:val="00891546"/>
    <w:pPr>
      <w:jc w:val="both"/>
    </w:pPr>
    <w:rPr/>
  </w:style>
  <w:style w:type="paragraph" w:styleId="Style32">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3"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4" w:customStyle="1">
    <w:name w:val="[РГ] Альтернатива / Дополнение"/>
    <w:basedOn w:val="Style31"/>
    <w:next w:val="Style31"/>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contextualSpacing/>
    </w:pPr>
    <w:rPr/>
  </w:style>
  <w:style w:type="paragraph" w:styleId="BalloonText">
    <w:name w:val="Balloon Text"/>
    <w:basedOn w:val="Normal"/>
    <w:link w:val="Style18"/>
    <w:uiPriority w:val="99"/>
    <w:semiHidden/>
    <w:unhideWhenUsed/>
    <w:qFormat/>
    <w:rsid w:val="0079507d"/>
    <w:pPr>
      <w:spacing w:before="0" w:after="0"/>
    </w:pPr>
    <w:rPr>
      <w:rFonts w:ascii="Segoe UI" w:hAnsi="Segoe UI" w:cs="Segoe UI"/>
      <w:sz w:val="18"/>
      <w:szCs w:val="18"/>
    </w:rPr>
  </w:style>
  <w:style w:type="paragraph" w:styleId="1" w:customStyle="1">
    <w:name w:val="РГ_ЕПоЗ_1."/>
    <w:basedOn w:val="Normal"/>
    <w:qFormat/>
    <w:rsid w:val="006a70de"/>
    <w:pPr>
      <w:keepNext w:val="true"/>
      <w:numPr>
        <w:ilvl w:val="0"/>
        <w:numId w:val="20"/>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rsid w:val="006a70de"/>
    <w:pPr>
      <w:keepNext w:val="true"/>
      <w:numPr>
        <w:ilvl w:val="1"/>
        <w:numId w:val="20"/>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5" w:customStyle="1">
    <w:name w:val="РГ_ЕПоЗ_а)"/>
    <w:basedOn w:val="ListParagraph"/>
    <w:link w:val="Style19"/>
    <w:qFormat/>
    <w:rsid w:val="006a70de"/>
    <w:pPr>
      <w:numPr>
        <w:ilvl w:val="4"/>
        <w:numId w:val="20"/>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6a70de"/>
    <w:pPr>
      <w:numPr>
        <w:ilvl w:val="3"/>
        <w:numId w:val="20"/>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6a70de"/>
    <w:pPr>
      <w:numPr>
        <w:ilvl w:val="5"/>
        <w:numId w:val="20"/>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rsid w:val="006a70de"/>
    <w:pPr>
      <w:numPr>
        <w:ilvl w:val="2"/>
        <w:numId w:val="20"/>
      </w:numPr>
      <w:tabs>
        <w:tab w:val="clear" w:pos="708"/>
        <w:tab w:val="left" w:pos="1134" w:leader="none"/>
      </w:tabs>
      <w:jc w:val="both"/>
    </w:pPr>
    <w:rPr>
      <w:rFonts w:eastAsia="Times New Roman" w:cs="Times New Roman"/>
      <w:sz w:val="28"/>
      <w:szCs w:val="28"/>
      <w:lang w:eastAsia="ru-RU"/>
    </w:rPr>
  </w:style>
  <w:style w:type="paragraph" w:styleId="Tableheader">
    <w:name w:val="Table_header"/>
    <w:qFormat/>
    <w:pPr>
      <w:keepNext w:val="false"/>
      <w:keepLines w:val="false"/>
      <w:pageBreakBefore w:val="false"/>
      <w:widowControl/>
      <w:shd w:val="nil"/>
      <w:suppressAutoHyphens w:val="true"/>
      <w:bidi w:val="0"/>
      <w:spacing w:lineRule="auto" w:line="240" w:beforeAutospacing="0" w:before="120" w:afterAutospacing="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14:ligatures w14:val="none"/>
    </w:rPr>
  </w:style>
  <w:style w:type="paragraph" w:styleId="Style36">
    <w:name w:val="Содержимое таблицы"/>
    <w:basedOn w:val="Normal"/>
    <w:qFormat/>
    <w:pPr>
      <w:widowControl w:val="false"/>
      <w:suppressLineNumbers/>
    </w:pPr>
    <w:rPr/>
  </w:style>
  <w:style w:type="paragraph" w:styleId="Style37">
    <w:name w:val="Заголовок таблицы"/>
    <w:basedOn w:val="Style36"/>
    <w:qFormat/>
    <w:pPr>
      <w:suppressLineNumbers/>
      <w:jc w:val="center"/>
    </w:pPr>
    <w:rPr>
      <w:b/>
      <w:bCs/>
    </w:rPr>
  </w:style>
  <w:style w:type="paragraph" w:styleId="3">
    <w:name w:val="УРОВЕНЬ_Абзац_тип3"/>
    <w:basedOn w:val="ListParagraph"/>
    <w:qFormat/>
    <w:pPr>
      <w:numPr>
        <w:ilvl w:val="0"/>
        <w:numId w:val="4"/>
      </w:numPr>
      <w:spacing w:lineRule="exact" w:line="360" w:before="120" w:after="0"/>
      <w:contextualSpacing/>
      <w:jc w:val="both"/>
    </w:pPr>
    <w:rPr>
      <w:rFonts w:ascii="Times New Roman" w:hAnsi="Times New Roman" w:eastAsia="Calibri" w:eastAsiaTheme="minorHAnsi"/>
      <w:sz w:val="26"/>
      <w:szCs w:val="28"/>
    </w:rPr>
  </w:style>
  <w:style w:type="paragraph" w:styleId="2">
    <w:name w:val="УРОВЕНЬ_Абзац_тип2"/>
    <w:basedOn w:val="ListParagraph"/>
    <w:qFormat/>
    <w:pPr>
      <w:numPr>
        <w:ilvl w:val="0"/>
        <w:numId w:val="4"/>
      </w:numPr>
      <w:spacing w:lineRule="exact" w:line="360" w:before="120" w:after="0"/>
      <w:contextualSpacing/>
      <w:jc w:val="both"/>
    </w:pPr>
    <w:rPr>
      <w:rFonts w:ascii="Times New Roman" w:hAnsi="Times New Roman" w:eastAsia="Calibri" w:eastAsiaTheme="minorHAnsi"/>
      <w:sz w:val="26"/>
      <w:szCs w:val="28"/>
    </w:rPr>
  </w:style>
  <w:style w:type="numbering" w:styleId="NoList" w:default="1">
    <w:name w:val="No List"/>
    <w:uiPriority w:val="99"/>
    <w:semiHidden/>
    <w:unhideWhenUsed/>
    <w:qFormat/>
  </w:style>
  <w:style w:type="table" w:default="1" w:styleId="a7">
    <w:name w:val="Normal Table"/>
    <w:uiPriority w:val="99"/>
    <w:semiHidden/>
    <w:unhideWhenUsed/>
    <w:tblPr>
      <w:tblCellMar>
        <w:top w:w="0" w:type="dxa"/>
        <w:left w:w="108" w:type="dxa"/>
        <w:bottom w:w="0" w:type="dxa"/>
        <w:right w:w="108" w:type="dxa"/>
      </w:tblCellMar>
    </w:tblPr>
  </w:style>
  <w:style w:type="table" w:customStyle="1" w:styleId="af6">
    <w:name w:val="[РГ] Таблица"/>
    <w:basedOn w:val="a7"/>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7">
    <w:name w:val="Table Grid"/>
    <w:basedOn w:val="a7"/>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nbt.rushydro.ru/Planning/Program/View/426729?returnUrl=%2FPlanning%2FProgram%2FIndex_all%3Fnotnull%3DTrue%26page%3D1%26pageSize%3D50%26Filter.Index%3D22130002%26Filter.LotYears%3D2027%26Filter.UserOrganizationType%3D10%26Filter.ExtendedFilterOpened%3DFalse%26Filter.UserOrganizationType%3D10%26Filter.tabIndex%3D0" TargetMode="External"/><Relationship Id="rId3" Type="http://schemas.openxmlformats.org/officeDocument/2006/relationships/hyperlink" Target="http://nbt.rushydro.ru/Planning/Program/View/426729?returnUrl=%2FPlanning%2FProgram%2FIndex_all%3Fnotnull%3DTrue%26page%3D1%26pageSize%3D50%26Filter.Index%3D22130002%26Filter.LotYears%3D2027%26Filter.UserOrganizationType%3D10%26Filter.ExtendedFilterOpened%3DFalse%26Filter.UserOrganizationType%3D10%26Filter.tabIndex%3D0" TargetMode="External"/><Relationship Id="rId4" Type="http://schemas.openxmlformats.org/officeDocument/2006/relationships/hyperlink" Target="https://rushydro.roseltorg.ru/" TargetMode="External"/><Relationship Id="rId5" Type="http://schemas.openxmlformats.org/officeDocument/2006/relationships/hyperlink" Target="https://www.roseltorg.ru/knowledge_db/docs?55" TargetMode="External"/><Relationship Id="rId6" Type="http://schemas.openxmlformats.org/officeDocument/2006/relationships/hyperlink" Target="mailto:dgk@dg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yperlink" Target="https://reestr.nostroy.ru/sro/all/member/list" TargetMode="Externa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6.xml"/><Relationship Id="rId23" Type="http://schemas.openxmlformats.org/officeDocument/2006/relationships/footer" Target="footer7.xml"/><Relationship Id="rId24" Type="http://schemas.openxmlformats.org/officeDocument/2006/relationships/package" Target="embeddings/oleObject2.docx"/><Relationship Id="rId25" Type="http://schemas.openxmlformats.org/officeDocument/2006/relationships/image" Target="media/image2.wmf"/><Relationship Id="rId26" Type="http://schemas.openxmlformats.org/officeDocument/2006/relationships/package" Target="embeddings/oleObject3.docx"/><Relationship Id="rId27" Type="http://schemas.openxmlformats.org/officeDocument/2006/relationships/image" Target="media/image3.wmf"/><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8.xml"/><Relationship Id="rId31" Type="http://schemas.openxmlformats.org/officeDocument/2006/relationships/footer" Target="footer9.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header" Target="header12.xml"/><Relationship Id="rId37" Type="http://schemas.openxmlformats.org/officeDocument/2006/relationships/header" Target="header13.xml"/><Relationship Id="rId38" Type="http://schemas.openxmlformats.org/officeDocument/2006/relationships/footer" Target="footer12.xml"/><Relationship Id="rId39" Type="http://schemas.openxmlformats.org/officeDocument/2006/relationships/footer" Target="footer13.xml"/><Relationship Id="rId40" Type="http://schemas.openxmlformats.org/officeDocument/2006/relationships/package" Target="embeddings/oleObject4.xlsx"/><Relationship Id="rId41" Type="http://schemas.openxmlformats.org/officeDocument/2006/relationships/image" Target="media/image4.wmf"/><Relationship Id="rId42" Type="http://schemas.openxmlformats.org/officeDocument/2006/relationships/package" Target="embeddings/oleObject5.docx"/><Relationship Id="rId43" Type="http://schemas.openxmlformats.org/officeDocument/2006/relationships/image" Target="media/image5.wmf"/><Relationship Id="rId44" Type="http://schemas.openxmlformats.org/officeDocument/2006/relationships/header" Target="header14.xml"/><Relationship Id="rId45" Type="http://schemas.openxmlformats.org/officeDocument/2006/relationships/header" Target="header15.xml"/><Relationship Id="rId46" Type="http://schemas.openxmlformats.org/officeDocument/2006/relationships/footer" Target="footer14.xml"/><Relationship Id="rId47" Type="http://schemas.openxmlformats.org/officeDocument/2006/relationships/footer" Target="footer15.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Relationship Id="rId5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9D7F-DA38-4440-9D23-59CEA030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Application>AlterOffice/2026.2.1.0$Linux_X86_64 LibreOffice_project/f008988ffacaa0b2bf57911c2759d08ca79831df</Application>
  <AppVersion>15.0000</AppVersion>
  <Pages>70</Pages>
  <Words>21445</Words>
  <Characters>149709</Characters>
  <CharactersWithSpaces>168592</CharactersWithSpaces>
  <Paragraphs>1210</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2025-08-28T11:09:00Z</dcterms:created>
  <dc:creator>Владимир Щербаков</dc:creator>
  <dc:description/>
  <cp:keywords>Типовая форма</cp:keywords>
  <dc:language>ru-RU</dc:language>
  <cp:lastModifiedBy>khrapataya_ys@DGK.RU</cp:lastModifiedBy>
  <dcterms:modified xsi:type="dcterms:W3CDTF">2026-10-19T13:45:36Z</dcterms:modified>
  <cp:revision>70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