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741" w:type="dxa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454"/>
        <w:gridCol w:w="123"/>
        <w:gridCol w:w="1588"/>
        <w:gridCol w:w="397"/>
        <w:gridCol w:w="397"/>
        <w:gridCol w:w="769"/>
      </w:tblGrid>
      <w:tr w:rsidR="00965FD1" w14:paraId="10A24C9E" w14:textId="77777777" w:rsidTr="00AD5B31">
        <w:tc>
          <w:tcPr>
            <w:tcW w:w="2013" w:type="dxa"/>
            <w:vAlign w:val="bottom"/>
          </w:tcPr>
          <w:p w14:paraId="52F948FB" w14:textId="77777777" w:rsidR="00965FD1" w:rsidRDefault="00965FD1" w:rsidP="00965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0719D86" w14:textId="47A4BDED" w:rsidR="00965FD1" w:rsidRDefault="005D6050" w:rsidP="0096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" w:type="dxa"/>
            <w:vAlign w:val="bottom"/>
          </w:tcPr>
          <w:p w14:paraId="61B4FD70" w14:textId="77777777" w:rsidR="00965FD1" w:rsidRDefault="00965FD1" w:rsidP="00965FD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776B90C5" w14:textId="116F363F" w:rsidR="00965FD1" w:rsidRDefault="005D6050" w:rsidP="0096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14:paraId="749DC2A9" w14:textId="77777777" w:rsidR="00965FD1" w:rsidRDefault="00965FD1" w:rsidP="00965F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341B937" w14:textId="728D69A4" w:rsidR="00965FD1" w:rsidRDefault="005D6050" w:rsidP="00965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bottom"/>
          </w:tcPr>
          <w:p w14:paraId="6B6B5B81" w14:textId="77777777" w:rsidR="00965FD1" w:rsidRDefault="00835D4C" w:rsidP="00965F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65FD1">
              <w:rPr>
                <w:sz w:val="24"/>
                <w:szCs w:val="24"/>
              </w:rPr>
              <w:t>ода</w:t>
            </w:r>
          </w:p>
        </w:tc>
      </w:tr>
    </w:tbl>
    <w:p w14:paraId="3D61FA7A" w14:textId="77777777" w:rsidR="0054545D" w:rsidRDefault="00105E20" w:rsidP="008314F4">
      <w:pPr>
        <w:spacing w:before="120" w:after="6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</w:t>
      </w:r>
      <w:r w:rsidR="002D34C4">
        <w:rPr>
          <w:sz w:val="24"/>
          <w:szCs w:val="24"/>
        </w:rPr>
        <w:t xml:space="preserve"> дополнительного</w:t>
      </w:r>
      <w:r w:rsidR="00835D4C">
        <w:rPr>
          <w:sz w:val="24"/>
          <w:szCs w:val="24"/>
        </w:rPr>
        <w:t xml:space="preserve"> </w:t>
      </w:r>
      <w:r w:rsidR="00E51B2E">
        <w:rPr>
          <w:sz w:val="24"/>
          <w:szCs w:val="24"/>
        </w:rPr>
        <w:t>выпуска ценных бумаг</w:t>
      </w:r>
    </w:p>
    <w:tbl>
      <w:tblPr>
        <w:tblStyle w:val="aa"/>
        <w:tblW w:w="0" w:type="auto"/>
        <w:tblInd w:w="42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9"/>
      </w:tblGrid>
      <w:tr w:rsidR="00105E20" w14:paraId="21C83C40" w14:textId="77777777" w:rsidTr="00105E20">
        <w:trPr>
          <w:trHeight w:val="397"/>
        </w:trPr>
        <w:tc>
          <w:tcPr>
            <w:tcW w:w="5739" w:type="dxa"/>
            <w:vAlign w:val="center"/>
          </w:tcPr>
          <w:p w14:paraId="72D2F32F" w14:textId="68FEC398" w:rsidR="00105E20" w:rsidRDefault="005D6050" w:rsidP="005958B0">
            <w:pPr>
              <w:jc w:val="center"/>
              <w:rPr>
                <w:sz w:val="24"/>
                <w:szCs w:val="24"/>
              </w:rPr>
            </w:pPr>
            <w:r w:rsidRPr="005D6050">
              <w:rPr>
                <w:sz w:val="24"/>
                <w:szCs w:val="24"/>
              </w:rPr>
              <w:t>1-02-32532-F-003D</w:t>
            </w:r>
          </w:p>
        </w:tc>
      </w:tr>
    </w:tbl>
    <w:p w14:paraId="19BC2590" w14:textId="77777777" w:rsidR="00965FD1" w:rsidRDefault="003C518E" w:rsidP="000B11DD">
      <w:pPr>
        <w:spacing w:before="240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Банк России</w:t>
      </w:r>
    </w:p>
    <w:p w14:paraId="61F9D5A2" w14:textId="77777777" w:rsidR="00965FD1" w:rsidRPr="003C518E" w:rsidRDefault="00965FD1" w:rsidP="00ED195C">
      <w:pPr>
        <w:pBdr>
          <w:top w:val="single" w:sz="4" w:space="1" w:color="auto"/>
        </w:pBdr>
        <w:spacing w:after="120"/>
        <w:ind w:left="4253"/>
        <w:rPr>
          <w:sz w:val="2"/>
          <w:szCs w:val="2"/>
        </w:rPr>
      </w:pPr>
    </w:p>
    <w:p w14:paraId="48859D44" w14:textId="77777777" w:rsidR="00105E20" w:rsidRDefault="00105E20" w:rsidP="00835D4C">
      <w:pPr>
        <w:ind w:left="4253"/>
        <w:rPr>
          <w:sz w:val="24"/>
          <w:szCs w:val="24"/>
        </w:rPr>
      </w:pPr>
    </w:p>
    <w:p w14:paraId="48EF0561" w14:textId="77777777" w:rsidR="00105E20" w:rsidRPr="001C53EC" w:rsidRDefault="00105E20" w:rsidP="00ED195C">
      <w:pPr>
        <w:pBdr>
          <w:top w:val="single" w:sz="4" w:space="1" w:color="auto"/>
        </w:pBdr>
        <w:spacing w:after="360"/>
        <w:ind w:left="4253"/>
        <w:jc w:val="center"/>
        <w:rPr>
          <w:sz w:val="18"/>
        </w:rPr>
      </w:pPr>
      <w:r w:rsidRPr="001C53EC">
        <w:rPr>
          <w:sz w:val="18"/>
        </w:rPr>
        <w:t>(подпись уполномоченного лица Банка</w:t>
      </w:r>
      <w:r w:rsidR="00C211F1" w:rsidRPr="001C53EC">
        <w:rPr>
          <w:sz w:val="18"/>
        </w:rPr>
        <w:t xml:space="preserve"> России</w:t>
      </w:r>
      <w:r w:rsidRPr="001C53EC">
        <w:rPr>
          <w:sz w:val="18"/>
        </w:rPr>
        <w:t>)</w:t>
      </w:r>
    </w:p>
    <w:p w14:paraId="14AE459D" w14:textId="77777777" w:rsidR="00965FD1" w:rsidRPr="005D645E" w:rsidRDefault="002D34C4" w:rsidP="00ED195C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ДОКУМЕНТ, СОДЕРЖАЩИЙ УСЛОВИЯ РАЗМЕЩЕНИЯ АКЦИЙ</w:t>
      </w:r>
    </w:p>
    <w:p w14:paraId="7CB156AC" w14:textId="77777777" w:rsidR="00965FD1" w:rsidRPr="004B0B99" w:rsidRDefault="00801A9E" w:rsidP="005D645E">
      <w:pPr>
        <w:jc w:val="center"/>
        <w:rPr>
          <w:sz w:val="24"/>
          <w:szCs w:val="24"/>
        </w:rPr>
      </w:pPr>
      <w:r w:rsidRPr="004B0B99">
        <w:rPr>
          <w:sz w:val="24"/>
          <w:szCs w:val="24"/>
        </w:rPr>
        <w:t>Акционерное общество «Дальневосточная генерирующая компания»</w:t>
      </w:r>
    </w:p>
    <w:p w14:paraId="3A56FEFE" w14:textId="77777777" w:rsidR="00965FD1" w:rsidRPr="00C2003F" w:rsidRDefault="00965FD1" w:rsidP="00774B54">
      <w:pPr>
        <w:pBdr>
          <w:top w:val="single" w:sz="4" w:space="2" w:color="auto"/>
        </w:pBdr>
        <w:spacing w:after="180"/>
        <w:jc w:val="center"/>
        <w:rPr>
          <w:sz w:val="18"/>
        </w:rPr>
      </w:pPr>
    </w:p>
    <w:p w14:paraId="36812F84" w14:textId="77777777" w:rsidR="005D645E" w:rsidRPr="004B0B99" w:rsidRDefault="00801A9E" w:rsidP="005D645E">
      <w:pPr>
        <w:jc w:val="center"/>
        <w:rPr>
          <w:sz w:val="24"/>
          <w:szCs w:val="24"/>
        </w:rPr>
      </w:pPr>
      <w:r w:rsidRPr="004B0B99">
        <w:rPr>
          <w:sz w:val="24"/>
          <w:szCs w:val="24"/>
        </w:rPr>
        <w:t>Акции обыкновенные</w:t>
      </w:r>
    </w:p>
    <w:p w14:paraId="15089B3F" w14:textId="77777777" w:rsidR="005D645E" w:rsidRPr="004B0B99" w:rsidRDefault="005D645E" w:rsidP="00ED195C">
      <w:pPr>
        <w:pBdr>
          <w:top w:val="single" w:sz="4" w:space="1" w:color="auto"/>
        </w:pBdr>
        <w:spacing w:after="180"/>
        <w:jc w:val="center"/>
      </w:pPr>
    </w:p>
    <w:p w14:paraId="06386D86" w14:textId="77777777" w:rsidR="00443A08" w:rsidRPr="004B0B99" w:rsidRDefault="00AD5B31" w:rsidP="004B0B99">
      <w:pPr>
        <w:tabs>
          <w:tab w:val="right" w:pos="9925"/>
        </w:tabs>
        <w:jc w:val="both"/>
        <w:rPr>
          <w:sz w:val="24"/>
          <w:szCs w:val="24"/>
        </w:rPr>
      </w:pPr>
      <w:r w:rsidRPr="004B0B99">
        <w:rPr>
          <w:sz w:val="24"/>
          <w:szCs w:val="24"/>
        </w:rPr>
        <w:t xml:space="preserve">Утверждено решением </w:t>
      </w:r>
      <w:r w:rsidR="000F1DE3" w:rsidRPr="004B0B99">
        <w:rPr>
          <w:sz w:val="24"/>
          <w:szCs w:val="24"/>
        </w:rPr>
        <w:t xml:space="preserve">Совета директоров </w:t>
      </w:r>
      <w:r w:rsidR="004B0B99" w:rsidRPr="004B0B99">
        <w:rPr>
          <w:sz w:val="24"/>
          <w:szCs w:val="24"/>
        </w:rPr>
        <w:t>Акционерного общества «Дальневосточная генерирующая компания»</w:t>
      </w:r>
      <w:r w:rsidRPr="004B0B99">
        <w:rPr>
          <w:sz w:val="24"/>
          <w:szCs w:val="24"/>
        </w:rPr>
        <w:tab/>
      </w:r>
    </w:p>
    <w:p w14:paraId="3DCE528B" w14:textId="77777777" w:rsidR="00AD5B31" w:rsidRPr="00C2003F" w:rsidRDefault="00AD5B31" w:rsidP="003472E7">
      <w:pPr>
        <w:pBdr>
          <w:top w:val="single" w:sz="4" w:space="1" w:color="auto"/>
        </w:pBdr>
        <w:spacing w:after="180"/>
        <w:ind w:left="1276" w:right="113"/>
        <w:jc w:val="center"/>
        <w:rPr>
          <w:sz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2"/>
        <w:gridCol w:w="397"/>
        <w:gridCol w:w="113"/>
        <w:gridCol w:w="1418"/>
        <w:gridCol w:w="397"/>
        <w:gridCol w:w="397"/>
        <w:gridCol w:w="741"/>
      </w:tblGrid>
      <w:tr w:rsidR="00AD5B31" w14:paraId="05956B87" w14:textId="77777777" w:rsidTr="00B52C74">
        <w:tc>
          <w:tcPr>
            <w:tcW w:w="1162" w:type="dxa"/>
            <w:vAlign w:val="bottom"/>
          </w:tcPr>
          <w:p w14:paraId="2F41866C" w14:textId="77777777" w:rsidR="00AD5B31" w:rsidRDefault="00AD5B31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принятым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FCEB499" w14:textId="0CC962CE" w:rsidR="00AD5B31" w:rsidRDefault="00CD0247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" w:type="dxa"/>
            <w:vAlign w:val="bottom"/>
          </w:tcPr>
          <w:p w14:paraId="37F349D8" w14:textId="77777777" w:rsidR="00AD5B31" w:rsidRDefault="00AD5B31" w:rsidP="00B52C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B64AB7A" w14:textId="0AE351BD" w:rsidR="00AD5B31" w:rsidRDefault="00CD0247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vAlign w:val="bottom"/>
          </w:tcPr>
          <w:p w14:paraId="30133027" w14:textId="77777777" w:rsidR="00AD5B31" w:rsidRDefault="00AD5B31" w:rsidP="00B52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B2B10EC" w14:textId="5FF6826F" w:rsidR="00AD5B31" w:rsidRDefault="00CD0247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1" w:type="dxa"/>
            <w:vAlign w:val="bottom"/>
          </w:tcPr>
          <w:p w14:paraId="6E3515E2" w14:textId="77777777" w:rsidR="00AD5B31" w:rsidRDefault="00AD5B31" w:rsidP="00B52C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</w:t>
            </w:r>
          </w:p>
        </w:tc>
      </w:tr>
    </w:tbl>
    <w:p w14:paraId="504AC739" w14:textId="77777777" w:rsidR="00AD5B31" w:rsidRPr="00ED195C" w:rsidRDefault="00AD5B31" w:rsidP="00ED195C">
      <w:pPr>
        <w:spacing w:after="180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2"/>
        <w:gridCol w:w="397"/>
        <w:gridCol w:w="113"/>
        <w:gridCol w:w="1418"/>
        <w:gridCol w:w="397"/>
        <w:gridCol w:w="397"/>
        <w:gridCol w:w="960"/>
        <w:gridCol w:w="1291"/>
        <w:gridCol w:w="360"/>
      </w:tblGrid>
      <w:tr w:rsidR="00AD5B31" w14:paraId="098880BF" w14:textId="77777777" w:rsidTr="00B52C74">
        <w:tc>
          <w:tcPr>
            <w:tcW w:w="1372" w:type="dxa"/>
            <w:vAlign w:val="bottom"/>
          </w:tcPr>
          <w:p w14:paraId="5FC9C3DA" w14:textId="77777777" w:rsidR="00AD5B31" w:rsidRDefault="00AD5B31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A6B5C7C" w14:textId="2D159422" w:rsidR="00AD5B31" w:rsidRDefault="00CD0247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" w:type="dxa"/>
            <w:vAlign w:val="bottom"/>
          </w:tcPr>
          <w:p w14:paraId="63C7D62A" w14:textId="77777777" w:rsidR="00AD5B31" w:rsidRDefault="00AD5B31" w:rsidP="00B52C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46FF04A" w14:textId="7BC2B9C7" w:rsidR="00AD5B31" w:rsidRDefault="00CD0247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vAlign w:val="bottom"/>
          </w:tcPr>
          <w:p w14:paraId="5561F0FE" w14:textId="77777777" w:rsidR="00AD5B31" w:rsidRDefault="00AD5B31" w:rsidP="00B52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9671D43" w14:textId="4B9FD5E2" w:rsidR="00AD5B31" w:rsidRDefault="00CD0247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0" w:type="dxa"/>
            <w:vAlign w:val="bottom"/>
          </w:tcPr>
          <w:p w14:paraId="73DA56C6" w14:textId="77777777" w:rsidR="00AD5B31" w:rsidRDefault="00AD5B31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bottom"/>
          </w:tcPr>
          <w:p w14:paraId="1A3FD60E" w14:textId="34693A5D" w:rsidR="00AD5B31" w:rsidRDefault="00CD0247" w:rsidP="00CD0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0" w:type="dxa"/>
            <w:vAlign w:val="bottom"/>
          </w:tcPr>
          <w:p w14:paraId="1E038EC3" w14:textId="77777777" w:rsidR="00AD5B31" w:rsidRDefault="003C518E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14:paraId="54BFD1D0" w14:textId="77777777" w:rsidR="00D25B17" w:rsidRDefault="00D25B17" w:rsidP="00066A21">
      <w:pPr>
        <w:tabs>
          <w:tab w:val="right" w:pos="9922"/>
        </w:tabs>
        <w:spacing w:before="180"/>
        <w:jc w:val="both"/>
        <w:rPr>
          <w:i/>
          <w:sz w:val="24"/>
          <w:szCs w:val="24"/>
        </w:rPr>
      </w:pPr>
    </w:p>
    <w:p w14:paraId="070432B3" w14:textId="7861493B" w:rsidR="0092387A" w:rsidRDefault="003C518E" w:rsidP="00066A21">
      <w:pPr>
        <w:tabs>
          <w:tab w:val="right" w:pos="9922"/>
        </w:tabs>
        <w:spacing w:before="180"/>
        <w:jc w:val="both"/>
        <w:rPr>
          <w:sz w:val="24"/>
          <w:szCs w:val="24"/>
        </w:rPr>
      </w:pPr>
      <w:r w:rsidRPr="00C2003F">
        <w:rPr>
          <w:i/>
          <w:sz w:val="24"/>
          <w:szCs w:val="24"/>
        </w:rPr>
        <w:t>на основании</w:t>
      </w:r>
      <w:r w:rsidRPr="004B0B99">
        <w:rPr>
          <w:sz w:val="24"/>
          <w:szCs w:val="24"/>
        </w:rPr>
        <w:t xml:space="preserve"> </w:t>
      </w:r>
      <w:r w:rsidR="00A15DBD" w:rsidRPr="004B0B99">
        <w:rPr>
          <w:sz w:val="24"/>
          <w:szCs w:val="24"/>
        </w:rPr>
        <w:t>решения</w:t>
      </w:r>
      <w:r w:rsidR="00FC5F96" w:rsidRPr="004B0B99">
        <w:rPr>
          <w:sz w:val="24"/>
          <w:szCs w:val="24"/>
        </w:rPr>
        <w:t xml:space="preserve"> </w:t>
      </w:r>
      <w:r w:rsidR="00321442" w:rsidRPr="004B0B99">
        <w:rPr>
          <w:sz w:val="24"/>
          <w:szCs w:val="24"/>
        </w:rPr>
        <w:t xml:space="preserve">о реорганизации АО «ДГК» в форме присоединения к нему </w:t>
      </w:r>
      <w:r w:rsidR="00321442">
        <w:rPr>
          <w:sz w:val="24"/>
          <w:szCs w:val="24"/>
        </w:rPr>
        <w:t xml:space="preserve">АО «Благовещенская ТЭЦ» </w:t>
      </w:r>
      <w:r w:rsidR="00321442" w:rsidRPr="004B0B99">
        <w:rPr>
          <w:sz w:val="24"/>
          <w:szCs w:val="24"/>
        </w:rPr>
        <w:t>и АО «ТЭЦ в г. Советская Гавань»,</w:t>
      </w:r>
      <w:r w:rsidR="00321442" w:rsidRPr="004B0B99">
        <w:t xml:space="preserve"> </w:t>
      </w:r>
      <w:r w:rsidR="00321442" w:rsidRPr="004B0B99">
        <w:rPr>
          <w:sz w:val="24"/>
          <w:szCs w:val="24"/>
        </w:rPr>
        <w:t xml:space="preserve">принятого внеочередным Общим собранием акционеров АО «ДГК» 10.03.2022 (протокол от 10.03.2022 </w:t>
      </w:r>
      <w:r w:rsidR="00321442" w:rsidRPr="00066A21">
        <w:rPr>
          <w:sz w:val="24"/>
          <w:szCs w:val="24"/>
        </w:rPr>
        <w:t>№12)</w:t>
      </w:r>
      <w:r w:rsidR="00C2003F">
        <w:rPr>
          <w:sz w:val="24"/>
          <w:szCs w:val="24"/>
        </w:rPr>
        <w:t>;</w:t>
      </w:r>
    </w:p>
    <w:p w14:paraId="2D44592E" w14:textId="77777777" w:rsidR="0092387A" w:rsidRDefault="0092387A" w:rsidP="0092387A">
      <w:pPr>
        <w:tabs>
          <w:tab w:val="right" w:pos="9922"/>
        </w:tabs>
        <w:spacing w:before="180"/>
        <w:jc w:val="both"/>
        <w:rPr>
          <w:sz w:val="24"/>
          <w:szCs w:val="24"/>
        </w:rPr>
      </w:pPr>
      <w:r w:rsidRPr="00DC3236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DC3236">
        <w:rPr>
          <w:sz w:val="24"/>
          <w:szCs w:val="24"/>
        </w:rPr>
        <w:t xml:space="preserve"> о реорганизации АО «ТЭЦ в г. Советская Гавань»</w:t>
      </w:r>
      <w:r>
        <w:rPr>
          <w:sz w:val="24"/>
          <w:szCs w:val="24"/>
        </w:rPr>
        <w:t xml:space="preserve"> </w:t>
      </w:r>
      <w:r w:rsidRPr="00DC3236">
        <w:rPr>
          <w:sz w:val="24"/>
          <w:szCs w:val="24"/>
        </w:rPr>
        <w:t>в форме присоединения к АО «ДГК», принят</w:t>
      </w:r>
      <w:r>
        <w:rPr>
          <w:sz w:val="24"/>
          <w:szCs w:val="24"/>
        </w:rPr>
        <w:t>ого</w:t>
      </w:r>
      <w:r w:rsidRPr="00DC3236">
        <w:rPr>
          <w:sz w:val="24"/>
          <w:szCs w:val="24"/>
        </w:rPr>
        <w:t xml:space="preserve"> 15.03.2022 Правлением </w:t>
      </w:r>
      <w:r w:rsidRPr="005B6A9E">
        <w:rPr>
          <w:sz w:val="24"/>
          <w:szCs w:val="24"/>
        </w:rPr>
        <w:t>ПАО «</w:t>
      </w:r>
      <w:proofErr w:type="spellStart"/>
      <w:r w:rsidRPr="005B6A9E">
        <w:rPr>
          <w:sz w:val="24"/>
          <w:szCs w:val="24"/>
        </w:rPr>
        <w:t>РусГидро</w:t>
      </w:r>
      <w:proofErr w:type="spellEnd"/>
      <w:r w:rsidRPr="005B6A9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DC3236">
        <w:rPr>
          <w:sz w:val="24"/>
          <w:szCs w:val="24"/>
        </w:rPr>
        <w:t xml:space="preserve"> </w:t>
      </w:r>
      <w:r w:rsidRPr="00855B49">
        <w:rPr>
          <w:sz w:val="24"/>
          <w:szCs w:val="24"/>
        </w:rPr>
        <w:t>выполняющим функции единственного акционера АО «ТЭЦ в г. Советская Гавань»</w:t>
      </w:r>
      <w:r w:rsidRPr="00894A4E">
        <w:rPr>
          <w:sz w:val="24"/>
          <w:szCs w:val="24"/>
        </w:rPr>
        <w:t xml:space="preserve"> </w:t>
      </w:r>
      <w:r w:rsidRPr="00DC3236">
        <w:rPr>
          <w:sz w:val="24"/>
          <w:szCs w:val="24"/>
        </w:rPr>
        <w:t>(п</w:t>
      </w:r>
      <w:r>
        <w:rPr>
          <w:sz w:val="24"/>
          <w:szCs w:val="24"/>
        </w:rPr>
        <w:t>ротокол от 15.03.2022 № 1374пр),</w:t>
      </w:r>
    </w:p>
    <w:p w14:paraId="321E0C22" w14:textId="77777777" w:rsidR="0092387A" w:rsidRDefault="0092387A" w:rsidP="0092387A">
      <w:pPr>
        <w:tabs>
          <w:tab w:val="right" w:pos="9922"/>
        </w:tabs>
        <w:spacing w:before="180"/>
        <w:jc w:val="both"/>
        <w:rPr>
          <w:sz w:val="24"/>
          <w:szCs w:val="24"/>
        </w:rPr>
      </w:pPr>
      <w:r w:rsidRPr="00DC3236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DC3236">
        <w:rPr>
          <w:sz w:val="24"/>
          <w:szCs w:val="24"/>
        </w:rPr>
        <w:t xml:space="preserve"> </w:t>
      </w:r>
      <w:r w:rsidRPr="00B37BC1">
        <w:rPr>
          <w:sz w:val="24"/>
          <w:szCs w:val="24"/>
        </w:rPr>
        <w:t>о реорган</w:t>
      </w:r>
      <w:r>
        <w:rPr>
          <w:sz w:val="24"/>
          <w:szCs w:val="24"/>
        </w:rPr>
        <w:t xml:space="preserve">изации АО «Благовещенская ТЭЦ» </w:t>
      </w:r>
      <w:r w:rsidRPr="00DC3236">
        <w:rPr>
          <w:sz w:val="24"/>
          <w:szCs w:val="24"/>
        </w:rPr>
        <w:t>в форме присоединения к АО «ДГК», принят</w:t>
      </w:r>
      <w:r>
        <w:rPr>
          <w:sz w:val="24"/>
          <w:szCs w:val="24"/>
        </w:rPr>
        <w:t>ого</w:t>
      </w:r>
      <w:r w:rsidRPr="00DC3236">
        <w:rPr>
          <w:sz w:val="24"/>
          <w:szCs w:val="24"/>
        </w:rPr>
        <w:t xml:space="preserve"> 15.03.2022 Правлением ПАО «</w:t>
      </w:r>
      <w:proofErr w:type="spellStart"/>
      <w:r w:rsidRPr="00DC3236">
        <w:rPr>
          <w:sz w:val="24"/>
          <w:szCs w:val="24"/>
        </w:rPr>
        <w:t>РусГидро</w:t>
      </w:r>
      <w:proofErr w:type="spellEnd"/>
      <w:r w:rsidRPr="00DC3236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DC3236">
        <w:rPr>
          <w:sz w:val="24"/>
          <w:szCs w:val="24"/>
        </w:rPr>
        <w:t xml:space="preserve"> </w:t>
      </w:r>
      <w:r w:rsidRPr="00855B49">
        <w:rPr>
          <w:sz w:val="24"/>
          <w:szCs w:val="24"/>
        </w:rPr>
        <w:t>выполняющим функции единственного акционера АО «Благовещенская ТЭЦ»</w:t>
      </w:r>
      <w:r w:rsidRPr="00DC3236">
        <w:rPr>
          <w:sz w:val="24"/>
          <w:szCs w:val="24"/>
        </w:rPr>
        <w:t xml:space="preserve"> (п</w:t>
      </w:r>
      <w:r>
        <w:rPr>
          <w:sz w:val="24"/>
          <w:szCs w:val="24"/>
        </w:rPr>
        <w:t>ротокол от 15.03.2022 № 1374пр),</w:t>
      </w:r>
      <w:r w:rsidRPr="00DC3236">
        <w:rPr>
          <w:sz w:val="24"/>
          <w:szCs w:val="24"/>
        </w:rPr>
        <w:t xml:space="preserve"> </w:t>
      </w:r>
    </w:p>
    <w:p w14:paraId="1B277AED" w14:textId="77777777" w:rsidR="003472E7" w:rsidRDefault="00FC5F96" w:rsidP="00066A21">
      <w:pPr>
        <w:tabs>
          <w:tab w:val="right" w:pos="9922"/>
        </w:tabs>
        <w:spacing w:before="180"/>
        <w:jc w:val="both"/>
        <w:rPr>
          <w:sz w:val="24"/>
          <w:szCs w:val="24"/>
        </w:rPr>
      </w:pPr>
      <w:r w:rsidRPr="004B0B99">
        <w:rPr>
          <w:sz w:val="24"/>
          <w:szCs w:val="24"/>
        </w:rPr>
        <w:t xml:space="preserve">решения </w:t>
      </w:r>
      <w:r w:rsidR="00066A21">
        <w:rPr>
          <w:sz w:val="24"/>
          <w:szCs w:val="24"/>
        </w:rPr>
        <w:t>об увеличении</w:t>
      </w:r>
      <w:r w:rsidRPr="004B0B99">
        <w:rPr>
          <w:sz w:val="24"/>
          <w:szCs w:val="24"/>
        </w:rPr>
        <w:t xml:space="preserve"> уставного капитала АО «ДГК»</w:t>
      </w:r>
      <w:r w:rsidR="00066A21">
        <w:rPr>
          <w:sz w:val="24"/>
          <w:szCs w:val="24"/>
        </w:rPr>
        <w:t xml:space="preserve"> путем размещения дополнительных обыкновенных акций</w:t>
      </w:r>
      <w:r w:rsidRPr="004B0B99">
        <w:rPr>
          <w:sz w:val="24"/>
          <w:szCs w:val="24"/>
        </w:rPr>
        <w:t>, принятого внеочередным Общим собранием</w:t>
      </w:r>
      <w:r w:rsidR="00066A21">
        <w:rPr>
          <w:sz w:val="24"/>
          <w:szCs w:val="24"/>
        </w:rPr>
        <w:t xml:space="preserve"> акционеров АО «ДГК»</w:t>
      </w:r>
      <w:r w:rsidR="00886A30" w:rsidRPr="004B0B99">
        <w:rPr>
          <w:sz w:val="24"/>
          <w:szCs w:val="24"/>
        </w:rPr>
        <w:t xml:space="preserve"> </w:t>
      </w:r>
      <w:r w:rsidRPr="004B0B99">
        <w:rPr>
          <w:sz w:val="24"/>
          <w:szCs w:val="24"/>
        </w:rPr>
        <w:t>10.03.2022 (протокол от 10.03.2022 №12)</w:t>
      </w:r>
      <w:r w:rsidR="00886A30" w:rsidRPr="004B0B99">
        <w:rPr>
          <w:sz w:val="24"/>
          <w:szCs w:val="24"/>
        </w:rPr>
        <w:t>.</w:t>
      </w:r>
    </w:p>
    <w:p w14:paraId="54A39F14" w14:textId="77777777" w:rsidR="003472E7" w:rsidRPr="004B0B99" w:rsidRDefault="003472E7" w:rsidP="00066A21">
      <w:pPr>
        <w:shd w:val="clear" w:color="auto" w:fill="FFFFFF"/>
        <w:spacing w:before="240"/>
        <w:jc w:val="both"/>
        <w:rPr>
          <w:sz w:val="24"/>
          <w:szCs w:val="24"/>
        </w:rPr>
      </w:pPr>
      <w:r w:rsidRPr="004B0B99">
        <w:rPr>
          <w:sz w:val="24"/>
          <w:szCs w:val="24"/>
        </w:rPr>
        <w:t>Место нахождения эмитента (в соответствии с его уставом): Российская Федерация, г. Хабаровск</w:t>
      </w:r>
    </w:p>
    <w:p w14:paraId="241A98F6" w14:textId="77777777" w:rsidR="003472E7" w:rsidRPr="004B0B99" w:rsidRDefault="003472E7" w:rsidP="003472E7">
      <w:pPr>
        <w:shd w:val="clear" w:color="auto" w:fill="FFFFFF"/>
        <w:contextualSpacing/>
        <w:rPr>
          <w:sz w:val="24"/>
          <w:szCs w:val="24"/>
        </w:rPr>
      </w:pPr>
    </w:p>
    <w:p w14:paraId="2B6ACEEA" w14:textId="77777777" w:rsidR="00FD6AAF" w:rsidRDefault="00FD6AAF" w:rsidP="003472E7">
      <w:pPr>
        <w:shd w:val="clear" w:color="auto" w:fill="FFFFFF"/>
        <w:contextualSpacing/>
        <w:rPr>
          <w:sz w:val="24"/>
          <w:szCs w:val="24"/>
        </w:rPr>
      </w:pPr>
    </w:p>
    <w:p w14:paraId="3B90ADAA" w14:textId="77777777" w:rsidR="003472E7" w:rsidRPr="004B0B99" w:rsidRDefault="003472E7" w:rsidP="003472E7">
      <w:pPr>
        <w:shd w:val="clear" w:color="auto" w:fill="FFFFFF"/>
        <w:contextualSpacing/>
        <w:rPr>
          <w:sz w:val="24"/>
          <w:szCs w:val="24"/>
        </w:rPr>
      </w:pPr>
      <w:r w:rsidRPr="004B0B99">
        <w:rPr>
          <w:sz w:val="24"/>
          <w:szCs w:val="24"/>
        </w:rPr>
        <w:t>Генеральный директор</w:t>
      </w:r>
      <w:r w:rsidR="00886A30" w:rsidRPr="004B0B99">
        <w:rPr>
          <w:sz w:val="24"/>
          <w:szCs w:val="24"/>
        </w:rPr>
        <w:t xml:space="preserve"> АО «ДГК»</w:t>
      </w:r>
    </w:p>
    <w:p w14:paraId="3863379D" w14:textId="77777777" w:rsidR="001C53EC" w:rsidRDefault="001C53EC" w:rsidP="003472E7">
      <w:pPr>
        <w:shd w:val="clear" w:color="auto" w:fill="FFFFFF"/>
        <w:rPr>
          <w:sz w:val="18"/>
        </w:rPr>
      </w:pPr>
    </w:p>
    <w:p w14:paraId="5159483E" w14:textId="77777777" w:rsidR="00FD6AAF" w:rsidRDefault="00FD6AAF" w:rsidP="003472E7">
      <w:pPr>
        <w:shd w:val="clear" w:color="auto" w:fill="FFFFFF"/>
        <w:rPr>
          <w:sz w:val="18"/>
        </w:rPr>
      </w:pPr>
    </w:p>
    <w:p w14:paraId="693553EE" w14:textId="77777777" w:rsidR="001C53EC" w:rsidRDefault="001C53EC" w:rsidP="003472E7">
      <w:pPr>
        <w:shd w:val="clear" w:color="auto" w:fill="FFFFFF"/>
        <w:rPr>
          <w:sz w:val="18"/>
        </w:rPr>
      </w:pPr>
    </w:p>
    <w:p w14:paraId="3DE1B065" w14:textId="77777777" w:rsidR="003472E7" w:rsidRPr="004B0B99" w:rsidRDefault="003472E7" w:rsidP="003472E7">
      <w:pPr>
        <w:shd w:val="clear" w:color="auto" w:fill="FFFFFF"/>
        <w:rPr>
          <w:sz w:val="24"/>
          <w:szCs w:val="24"/>
        </w:rPr>
      </w:pPr>
      <w:r w:rsidRPr="004B0B99">
        <w:rPr>
          <w:sz w:val="24"/>
          <w:szCs w:val="24"/>
        </w:rPr>
        <w:t xml:space="preserve">М.И. </w:t>
      </w:r>
      <w:proofErr w:type="spellStart"/>
      <w:r w:rsidRPr="004B0B99">
        <w:rPr>
          <w:sz w:val="24"/>
          <w:szCs w:val="24"/>
        </w:rPr>
        <w:t>Шукайлов</w:t>
      </w:r>
      <w:proofErr w:type="spellEnd"/>
    </w:p>
    <w:p w14:paraId="1638F1DA" w14:textId="77777777" w:rsidR="003472E7" w:rsidRDefault="003472E7" w:rsidP="003472E7">
      <w:pPr>
        <w:pBdr>
          <w:top w:val="single" w:sz="4" w:space="1" w:color="000000"/>
        </w:pBdr>
        <w:shd w:val="clear" w:color="auto" w:fill="FFFFFF"/>
        <w:spacing w:after="240"/>
        <w:ind w:right="7937"/>
        <w:jc w:val="center"/>
      </w:pPr>
      <w:r>
        <w:t xml:space="preserve">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54"/>
        <w:gridCol w:w="2722"/>
      </w:tblGrid>
      <w:tr w:rsidR="003472E7" w:rsidRPr="00C7571A" w14:paraId="1E8F5D6C" w14:textId="77777777" w:rsidTr="00756D6A"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62609E5" w14:textId="77777777" w:rsidR="003472E7" w:rsidRPr="00C7571A" w:rsidRDefault="003472E7" w:rsidP="00756D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C5658A6" w14:textId="77777777" w:rsidR="003472E7" w:rsidRPr="00C7571A" w:rsidRDefault="003472E7" w:rsidP="00756D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793DCEE" w14:textId="77777777" w:rsidR="003472E7" w:rsidRPr="00C7571A" w:rsidRDefault="003472E7" w:rsidP="00756D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2E7" w14:paraId="2B6CD785" w14:textId="77777777" w:rsidTr="00756D6A">
        <w:tc>
          <w:tcPr>
            <w:tcW w:w="27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FFAC3B" w14:textId="77777777" w:rsidR="003472E7" w:rsidRPr="00C7571A" w:rsidRDefault="003472E7" w:rsidP="00756D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571A">
              <w:t>(подпись)</w:t>
            </w: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7F55E1" w14:textId="77777777" w:rsidR="003472E7" w:rsidRPr="00C7571A" w:rsidRDefault="003472E7" w:rsidP="00756D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0EA214" w14:textId="77777777" w:rsidR="003472E7" w:rsidRDefault="003472E7" w:rsidP="00756D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571A">
              <w:t>(дата подписи)</w:t>
            </w:r>
          </w:p>
        </w:tc>
      </w:tr>
    </w:tbl>
    <w:p w14:paraId="76A37163" w14:textId="77777777" w:rsidR="00DA3A13" w:rsidRDefault="00DA3A13" w:rsidP="00066A21">
      <w:pPr>
        <w:spacing w:before="240"/>
        <w:jc w:val="both"/>
        <w:rPr>
          <w:sz w:val="24"/>
          <w:szCs w:val="24"/>
        </w:rPr>
      </w:pPr>
    </w:p>
    <w:p w14:paraId="32F47A21" w14:textId="77777777" w:rsidR="00DA3A13" w:rsidRDefault="00DA3A13" w:rsidP="00066A21">
      <w:pPr>
        <w:spacing w:before="240"/>
        <w:jc w:val="both"/>
        <w:rPr>
          <w:sz w:val="24"/>
          <w:szCs w:val="24"/>
        </w:rPr>
      </w:pPr>
    </w:p>
    <w:p w14:paraId="303D02CF" w14:textId="7741D0CF" w:rsidR="00462215" w:rsidRPr="00462215" w:rsidRDefault="00462215" w:rsidP="00066A21">
      <w:pPr>
        <w:spacing w:before="240"/>
        <w:jc w:val="both"/>
        <w:rPr>
          <w:sz w:val="24"/>
          <w:szCs w:val="24"/>
        </w:rPr>
      </w:pPr>
      <w:r w:rsidRPr="00462215">
        <w:rPr>
          <w:sz w:val="24"/>
          <w:szCs w:val="24"/>
        </w:rPr>
        <w:lastRenderedPageBreak/>
        <w:t>1. Вид, категория (тип), идентификационные признаки ценных бумаг</w:t>
      </w:r>
    </w:p>
    <w:p w14:paraId="2FA17F90" w14:textId="77777777" w:rsidR="00802202" w:rsidRDefault="00802202" w:rsidP="00802202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</w:p>
    <w:p w14:paraId="61A79246" w14:textId="77777777" w:rsidR="00802202" w:rsidRPr="00CE4A2C" w:rsidRDefault="00802202" w:rsidP="00802202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ценных бумаг: </w:t>
      </w:r>
      <w:r w:rsidRPr="00DB5201">
        <w:rPr>
          <w:b/>
          <w:bCs/>
          <w:i/>
          <w:iCs/>
          <w:sz w:val="24"/>
          <w:szCs w:val="24"/>
        </w:rPr>
        <w:t>акции</w:t>
      </w:r>
      <w:r w:rsidRPr="00CE4A2C">
        <w:rPr>
          <w:iCs/>
          <w:sz w:val="24"/>
          <w:szCs w:val="24"/>
        </w:rPr>
        <w:t xml:space="preserve"> </w:t>
      </w:r>
    </w:p>
    <w:p w14:paraId="74A374E6" w14:textId="77777777" w:rsidR="00802202" w:rsidRPr="00CE4A2C" w:rsidRDefault="00802202" w:rsidP="00802202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(тип): </w:t>
      </w:r>
      <w:r w:rsidRPr="00DB5201">
        <w:rPr>
          <w:b/>
          <w:bCs/>
          <w:i/>
          <w:iCs/>
          <w:sz w:val="24"/>
          <w:szCs w:val="24"/>
        </w:rPr>
        <w:t>обыкновенные</w:t>
      </w:r>
      <w:r w:rsidRPr="00CE4A2C">
        <w:rPr>
          <w:iCs/>
          <w:sz w:val="24"/>
          <w:szCs w:val="24"/>
        </w:rPr>
        <w:t xml:space="preserve"> </w:t>
      </w:r>
    </w:p>
    <w:p w14:paraId="50773C67" w14:textId="77777777" w:rsidR="00462215" w:rsidRPr="00462215" w:rsidRDefault="00462215" w:rsidP="00462215">
      <w:pPr>
        <w:spacing w:before="240"/>
        <w:rPr>
          <w:sz w:val="24"/>
          <w:szCs w:val="24"/>
        </w:rPr>
      </w:pPr>
      <w:r w:rsidRPr="00462215">
        <w:rPr>
          <w:sz w:val="24"/>
          <w:szCs w:val="24"/>
        </w:rPr>
        <w:t xml:space="preserve"> 2. Количество размещаемых ценных бумаг</w:t>
      </w:r>
    </w:p>
    <w:p w14:paraId="09551F14" w14:textId="77777777" w:rsidR="00462215" w:rsidRPr="00124B04" w:rsidRDefault="00E9178B" w:rsidP="00124B04">
      <w:pPr>
        <w:spacing w:before="240"/>
        <w:jc w:val="both"/>
        <w:rPr>
          <w:b/>
          <w:i/>
          <w:sz w:val="24"/>
          <w:szCs w:val="24"/>
        </w:rPr>
      </w:pPr>
      <w:r w:rsidRPr="00E9178B">
        <w:rPr>
          <w:b/>
          <w:i/>
          <w:sz w:val="24"/>
          <w:szCs w:val="24"/>
        </w:rPr>
        <w:t>К</w:t>
      </w:r>
      <w:r w:rsidR="00462215" w:rsidRPr="00E9178B">
        <w:rPr>
          <w:b/>
          <w:i/>
          <w:sz w:val="24"/>
          <w:szCs w:val="24"/>
        </w:rPr>
        <w:t>оличество размещаемых акций дополнительного выпуска</w:t>
      </w:r>
      <w:r w:rsidR="00026768" w:rsidRPr="00E9178B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124B04" w:rsidRPr="00124B04">
        <w:rPr>
          <w:b/>
          <w:i/>
          <w:sz w:val="24"/>
          <w:szCs w:val="24"/>
        </w:rPr>
        <w:t xml:space="preserve">13 301 298 068 005 711 </w:t>
      </w:r>
      <w:r w:rsidR="000A4480" w:rsidRPr="00124B04">
        <w:rPr>
          <w:b/>
          <w:i/>
          <w:sz w:val="24"/>
          <w:szCs w:val="24"/>
        </w:rPr>
        <w:t>(</w:t>
      </w:r>
      <w:r w:rsidR="00124B04" w:rsidRPr="00124B04">
        <w:rPr>
          <w:b/>
          <w:i/>
          <w:sz w:val="24"/>
          <w:szCs w:val="24"/>
        </w:rPr>
        <w:t>тринадцать квадриллионов триста один триллион двести девяносто восемь миллиардов шестьдесят восемь миллионов пять тысяч семьсот одиннадцать</w:t>
      </w:r>
      <w:r w:rsidR="000A4480" w:rsidRPr="00124B04">
        <w:rPr>
          <w:b/>
          <w:i/>
          <w:sz w:val="24"/>
          <w:szCs w:val="24"/>
        </w:rPr>
        <w:t>)</w:t>
      </w:r>
      <w:r w:rsidR="000A4480" w:rsidRPr="00124B04">
        <w:rPr>
          <w:i/>
          <w:sz w:val="24"/>
          <w:szCs w:val="24"/>
        </w:rPr>
        <w:t xml:space="preserve"> </w:t>
      </w:r>
      <w:r w:rsidR="005C567E" w:rsidRPr="00124B04">
        <w:rPr>
          <w:b/>
          <w:i/>
          <w:sz w:val="24"/>
          <w:szCs w:val="24"/>
        </w:rPr>
        <w:t>штук.</w:t>
      </w:r>
    </w:p>
    <w:p w14:paraId="2195E5B5" w14:textId="77777777" w:rsidR="00462215" w:rsidRPr="00462215" w:rsidRDefault="00E9178B" w:rsidP="00066A21">
      <w:pPr>
        <w:spacing w:before="240"/>
        <w:jc w:val="both"/>
        <w:rPr>
          <w:sz w:val="24"/>
          <w:szCs w:val="24"/>
        </w:rPr>
      </w:pPr>
      <w:r w:rsidRPr="00E9178B">
        <w:rPr>
          <w:b/>
          <w:i/>
          <w:sz w:val="24"/>
          <w:szCs w:val="24"/>
        </w:rPr>
        <w:t>О</w:t>
      </w:r>
      <w:r w:rsidR="00462215" w:rsidRPr="00E9178B">
        <w:rPr>
          <w:b/>
          <w:i/>
          <w:sz w:val="24"/>
          <w:szCs w:val="24"/>
        </w:rPr>
        <w:t>бщее количество</w:t>
      </w:r>
      <w:r w:rsidR="00066A21" w:rsidRPr="00E9178B">
        <w:rPr>
          <w:b/>
          <w:i/>
          <w:sz w:val="24"/>
          <w:szCs w:val="24"/>
        </w:rPr>
        <w:t xml:space="preserve"> </w:t>
      </w:r>
      <w:r w:rsidR="00462215" w:rsidRPr="00E9178B">
        <w:rPr>
          <w:b/>
          <w:i/>
          <w:sz w:val="24"/>
          <w:szCs w:val="24"/>
        </w:rPr>
        <w:t>непогашенных акций данного выпуска, размещенных ранее</w:t>
      </w:r>
      <w:r w:rsidR="00BA273A" w:rsidRPr="00E9178B">
        <w:rPr>
          <w:b/>
          <w:i/>
          <w:sz w:val="24"/>
          <w:szCs w:val="24"/>
        </w:rPr>
        <w:t>:</w:t>
      </w:r>
      <w:r w:rsidR="00BA273A" w:rsidRPr="00124B04">
        <w:rPr>
          <w:sz w:val="24"/>
          <w:szCs w:val="24"/>
        </w:rPr>
        <w:t xml:space="preserve"> </w:t>
      </w:r>
      <w:r w:rsidR="00BA273A" w:rsidRPr="00124B04">
        <w:rPr>
          <w:b/>
          <w:i/>
          <w:sz w:val="24"/>
          <w:szCs w:val="24"/>
        </w:rPr>
        <w:t>158 102 823 986 943 551 (</w:t>
      </w:r>
      <w:r w:rsidR="00A17461" w:rsidRPr="00124B04">
        <w:rPr>
          <w:b/>
          <w:i/>
          <w:sz w:val="24"/>
          <w:szCs w:val="24"/>
        </w:rPr>
        <w:t>сто пятьдесят восемь квадриллионов сто два триллиона восемьсот двадцать три миллиарда девятьсот восемьдесят шесть миллионов девятьсот сорок три тысячи пятьсот пятьдесят одна</w:t>
      </w:r>
      <w:r w:rsidR="00BA273A" w:rsidRPr="00124B04">
        <w:rPr>
          <w:b/>
          <w:i/>
          <w:sz w:val="24"/>
          <w:szCs w:val="24"/>
        </w:rPr>
        <w:t>)</w:t>
      </w:r>
      <w:r w:rsidR="00A17461" w:rsidRPr="00124B04">
        <w:rPr>
          <w:b/>
          <w:i/>
          <w:sz w:val="24"/>
          <w:szCs w:val="24"/>
        </w:rPr>
        <w:t xml:space="preserve"> штука</w:t>
      </w:r>
      <w:r w:rsidR="00462215" w:rsidRPr="00124B04">
        <w:rPr>
          <w:sz w:val="24"/>
          <w:szCs w:val="24"/>
        </w:rPr>
        <w:t>.</w:t>
      </w:r>
    </w:p>
    <w:p w14:paraId="0E9A2760" w14:textId="77777777" w:rsidR="00462215" w:rsidRPr="00462215" w:rsidRDefault="00462215" w:rsidP="00462215">
      <w:pPr>
        <w:spacing w:before="240"/>
        <w:rPr>
          <w:sz w:val="24"/>
          <w:szCs w:val="24"/>
        </w:rPr>
      </w:pPr>
      <w:r w:rsidRPr="00462215">
        <w:rPr>
          <w:sz w:val="24"/>
          <w:szCs w:val="24"/>
        </w:rPr>
        <w:t>3. Срок размещения ценных бумаг</w:t>
      </w:r>
    </w:p>
    <w:p w14:paraId="4AE54074" w14:textId="77777777" w:rsidR="00462215" w:rsidRPr="00F96BAE" w:rsidRDefault="00C4458F" w:rsidP="00DB5201">
      <w:pPr>
        <w:spacing w:before="240"/>
        <w:jc w:val="both"/>
        <w:rPr>
          <w:i/>
          <w:sz w:val="24"/>
          <w:szCs w:val="24"/>
        </w:rPr>
      </w:pPr>
      <w:r w:rsidRPr="00225A8E">
        <w:rPr>
          <w:b/>
          <w:i/>
          <w:sz w:val="24"/>
          <w:szCs w:val="24"/>
        </w:rPr>
        <w:t xml:space="preserve">Дата размещения ценных бумаг при реорганизации в форме присоединения - </w:t>
      </w:r>
      <w:r w:rsidR="00E9178B">
        <w:rPr>
          <w:b/>
          <w:i/>
          <w:sz w:val="24"/>
          <w:szCs w:val="24"/>
        </w:rPr>
        <w:t>Д</w:t>
      </w:r>
      <w:r w:rsidR="00B0563C" w:rsidRPr="00F96BAE">
        <w:rPr>
          <w:b/>
          <w:i/>
          <w:sz w:val="24"/>
          <w:szCs w:val="24"/>
        </w:rPr>
        <w:t>атой размещения акций является дата внесения в единый государственный реестр юридических лиц записи о прекращении деятельности АО «Благовещенская ТЭЦ»</w:t>
      </w:r>
      <w:r w:rsidR="00002EE7" w:rsidRPr="00F96BAE">
        <w:rPr>
          <w:i/>
        </w:rPr>
        <w:t xml:space="preserve"> </w:t>
      </w:r>
      <w:r w:rsidR="00002EE7" w:rsidRPr="00F96BAE">
        <w:rPr>
          <w:b/>
          <w:i/>
          <w:sz w:val="24"/>
          <w:szCs w:val="24"/>
        </w:rPr>
        <w:t>(ОГРН 1132801005556)</w:t>
      </w:r>
      <w:r w:rsidR="00B0563C" w:rsidRPr="00F96BAE">
        <w:rPr>
          <w:b/>
          <w:i/>
          <w:sz w:val="24"/>
          <w:szCs w:val="24"/>
        </w:rPr>
        <w:t>.</w:t>
      </w:r>
    </w:p>
    <w:p w14:paraId="57E66CEB" w14:textId="77777777" w:rsidR="00462215" w:rsidRPr="00462215" w:rsidRDefault="00462215" w:rsidP="00462215">
      <w:pPr>
        <w:spacing w:before="240"/>
        <w:rPr>
          <w:sz w:val="24"/>
          <w:szCs w:val="24"/>
        </w:rPr>
      </w:pPr>
      <w:r w:rsidRPr="00462215">
        <w:rPr>
          <w:sz w:val="24"/>
          <w:szCs w:val="24"/>
        </w:rPr>
        <w:t>4. Порядок приобретения ценных бумаг при их размещении</w:t>
      </w:r>
    </w:p>
    <w:p w14:paraId="3DED57DA" w14:textId="77777777" w:rsidR="00B0563C" w:rsidRPr="00F96BAE" w:rsidRDefault="00462215" w:rsidP="00DB5201">
      <w:pPr>
        <w:spacing w:before="240"/>
        <w:jc w:val="both"/>
        <w:rPr>
          <w:b/>
          <w:i/>
          <w:sz w:val="24"/>
          <w:szCs w:val="24"/>
        </w:rPr>
      </w:pPr>
      <w:r w:rsidRPr="00462215">
        <w:rPr>
          <w:sz w:val="24"/>
          <w:szCs w:val="24"/>
        </w:rPr>
        <w:t>4.1. Способ размещения ценных бумаг</w:t>
      </w:r>
      <w:r w:rsidR="00B0563C">
        <w:rPr>
          <w:sz w:val="24"/>
          <w:szCs w:val="24"/>
        </w:rPr>
        <w:t>:</w:t>
      </w:r>
      <w:r w:rsidR="00B0563C" w:rsidRPr="00B0563C">
        <w:t xml:space="preserve"> </w:t>
      </w:r>
      <w:r w:rsidR="00B0563C" w:rsidRPr="00F96BAE">
        <w:rPr>
          <w:b/>
          <w:i/>
          <w:sz w:val="24"/>
          <w:szCs w:val="24"/>
        </w:rPr>
        <w:t>ко</w:t>
      </w:r>
      <w:r w:rsidR="00397E7E" w:rsidRPr="00F96BAE">
        <w:rPr>
          <w:b/>
          <w:i/>
          <w:sz w:val="24"/>
          <w:szCs w:val="24"/>
        </w:rPr>
        <w:t>нвертация обыкновенных акций АО </w:t>
      </w:r>
      <w:r w:rsidR="00B0563C" w:rsidRPr="00F96BAE">
        <w:rPr>
          <w:b/>
          <w:i/>
          <w:sz w:val="24"/>
          <w:szCs w:val="24"/>
        </w:rPr>
        <w:t>«Благовещенская ТЭЦ»</w:t>
      </w:r>
      <w:r w:rsidR="005228CC">
        <w:rPr>
          <w:b/>
          <w:i/>
          <w:sz w:val="24"/>
          <w:szCs w:val="24"/>
        </w:rPr>
        <w:t xml:space="preserve"> (далее также – Присоединяемое общество)</w:t>
      </w:r>
      <w:r w:rsidR="00002EE7" w:rsidRPr="00F96BAE">
        <w:rPr>
          <w:b/>
          <w:i/>
          <w:sz w:val="24"/>
          <w:szCs w:val="24"/>
        </w:rPr>
        <w:t xml:space="preserve"> </w:t>
      </w:r>
      <w:r w:rsidR="00B0563C" w:rsidRPr="00F96BAE">
        <w:rPr>
          <w:b/>
          <w:i/>
          <w:sz w:val="24"/>
          <w:szCs w:val="24"/>
        </w:rPr>
        <w:t>в дополнительные обыкновенные акции АО «ДГК»</w:t>
      </w:r>
      <w:r w:rsidR="005228CC">
        <w:rPr>
          <w:b/>
          <w:i/>
          <w:sz w:val="24"/>
          <w:szCs w:val="24"/>
        </w:rPr>
        <w:t xml:space="preserve"> (далее также – Основное общество)</w:t>
      </w:r>
      <w:r w:rsidR="00774B54" w:rsidRPr="00F96BAE">
        <w:rPr>
          <w:b/>
          <w:i/>
          <w:sz w:val="24"/>
          <w:szCs w:val="24"/>
        </w:rPr>
        <w:t xml:space="preserve"> при присоединении.</w:t>
      </w:r>
    </w:p>
    <w:p w14:paraId="55500FEC" w14:textId="77777777" w:rsidR="00462215" w:rsidRPr="00462215" w:rsidRDefault="00462215" w:rsidP="00462215">
      <w:pPr>
        <w:spacing w:before="240"/>
        <w:rPr>
          <w:sz w:val="24"/>
          <w:szCs w:val="24"/>
        </w:rPr>
      </w:pPr>
      <w:r w:rsidRPr="00462215">
        <w:rPr>
          <w:sz w:val="24"/>
          <w:szCs w:val="24"/>
        </w:rPr>
        <w:t>4.2. Порядок размещения ценных бумаг</w:t>
      </w:r>
    </w:p>
    <w:p w14:paraId="7B7FC6BE" w14:textId="77777777" w:rsidR="00002EE7" w:rsidRPr="00F96BAE" w:rsidRDefault="00462215" w:rsidP="00DB5201">
      <w:pPr>
        <w:spacing w:before="240"/>
        <w:jc w:val="both"/>
        <w:rPr>
          <w:b/>
          <w:i/>
          <w:sz w:val="24"/>
          <w:szCs w:val="24"/>
        </w:rPr>
      </w:pPr>
      <w:r w:rsidRPr="00462215">
        <w:rPr>
          <w:sz w:val="24"/>
          <w:szCs w:val="24"/>
        </w:rPr>
        <w:t xml:space="preserve">4.2.1. </w:t>
      </w:r>
      <w:r w:rsidR="00E9178B" w:rsidRPr="00E9178B">
        <w:rPr>
          <w:b/>
          <w:i/>
          <w:sz w:val="24"/>
          <w:szCs w:val="24"/>
        </w:rPr>
        <w:t>В</w:t>
      </w:r>
      <w:r w:rsidR="00F96BAE" w:rsidRPr="00E9178B">
        <w:rPr>
          <w:b/>
          <w:i/>
          <w:sz w:val="24"/>
          <w:szCs w:val="24"/>
        </w:rPr>
        <w:t xml:space="preserve"> </w:t>
      </w:r>
      <w:r w:rsidR="00002EE7" w:rsidRPr="00F96BAE">
        <w:rPr>
          <w:b/>
          <w:i/>
          <w:sz w:val="24"/>
          <w:szCs w:val="24"/>
        </w:rPr>
        <w:t xml:space="preserve">соответствии с Договором о присоединении </w:t>
      </w:r>
      <w:r w:rsidR="00A306B1" w:rsidRPr="00F96BAE">
        <w:rPr>
          <w:b/>
          <w:i/>
          <w:sz w:val="24"/>
          <w:szCs w:val="24"/>
        </w:rPr>
        <w:t xml:space="preserve">Акционерного общества «Благовещенская ТЭЦ» и Акционерного общества «ТЭЦ в г. Советская Гавань» к Акционерному обществу «Дальневосточная генерирующая компания» </w:t>
      </w:r>
      <w:r w:rsidR="00002EE7" w:rsidRPr="00F96BAE">
        <w:rPr>
          <w:b/>
          <w:i/>
          <w:sz w:val="24"/>
          <w:szCs w:val="24"/>
        </w:rPr>
        <w:t xml:space="preserve">от 10 </w:t>
      </w:r>
      <w:r w:rsidR="00A306B1" w:rsidRPr="00F96BAE">
        <w:rPr>
          <w:b/>
          <w:i/>
          <w:sz w:val="24"/>
          <w:szCs w:val="24"/>
        </w:rPr>
        <w:t>марта</w:t>
      </w:r>
      <w:r w:rsidR="00002EE7" w:rsidRPr="00F96BAE">
        <w:rPr>
          <w:b/>
          <w:i/>
          <w:sz w:val="24"/>
          <w:szCs w:val="24"/>
        </w:rPr>
        <w:t xml:space="preserve"> 20</w:t>
      </w:r>
      <w:r w:rsidR="00A306B1" w:rsidRPr="00F96BAE">
        <w:rPr>
          <w:b/>
          <w:i/>
          <w:sz w:val="24"/>
          <w:szCs w:val="24"/>
        </w:rPr>
        <w:t>22</w:t>
      </w:r>
      <w:r w:rsidR="00002EE7" w:rsidRPr="00F96BAE">
        <w:rPr>
          <w:b/>
          <w:i/>
          <w:sz w:val="24"/>
          <w:szCs w:val="24"/>
        </w:rPr>
        <w:t xml:space="preserve"> г</w:t>
      </w:r>
      <w:r w:rsidR="00A306B1" w:rsidRPr="00F96BAE">
        <w:rPr>
          <w:b/>
          <w:i/>
          <w:sz w:val="24"/>
          <w:szCs w:val="24"/>
        </w:rPr>
        <w:t>ода</w:t>
      </w:r>
      <w:r w:rsidR="00002EE7" w:rsidRPr="00F96BAE">
        <w:rPr>
          <w:b/>
          <w:i/>
          <w:sz w:val="24"/>
          <w:szCs w:val="24"/>
        </w:rPr>
        <w:t xml:space="preserve"> и решением об увеличении уставного капитала АО «</w:t>
      </w:r>
      <w:r w:rsidR="00A306B1" w:rsidRPr="00F96BAE">
        <w:rPr>
          <w:b/>
          <w:i/>
          <w:sz w:val="24"/>
          <w:szCs w:val="24"/>
        </w:rPr>
        <w:t>ДГК</w:t>
      </w:r>
      <w:r w:rsidR="00002EE7" w:rsidRPr="00F96BAE">
        <w:rPr>
          <w:b/>
          <w:i/>
          <w:sz w:val="24"/>
          <w:szCs w:val="24"/>
        </w:rPr>
        <w:t>» путем размещения дополнительных акций: обыкновенные акции Присоединяемого общества конвертируются в дополнительные обыкновенные акции АО «</w:t>
      </w:r>
      <w:r w:rsidR="00A306B1" w:rsidRPr="00F96BAE">
        <w:rPr>
          <w:b/>
          <w:i/>
          <w:sz w:val="24"/>
          <w:szCs w:val="24"/>
        </w:rPr>
        <w:t>ДГК</w:t>
      </w:r>
      <w:r w:rsidR="00002EE7" w:rsidRPr="00F96BAE">
        <w:rPr>
          <w:b/>
          <w:i/>
          <w:sz w:val="24"/>
          <w:szCs w:val="24"/>
        </w:rPr>
        <w:t>».</w:t>
      </w:r>
    </w:p>
    <w:p w14:paraId="6FF86A72" w14:textId="77777777" w:rsidR="00002EE7" w:rsidRPr="00002EE7" w:rsidRDefault="00002EE7" w:rsidP="00002EE7">
      <w:pPr>
        <w:spacing w:before="240"/>
        <w:rPr>
          <w:sz w:val="24"/>
          <w:szCs w:val="24"/>
        </w:rPr>
      </w:pPr>
      <w:r w:rsidRPr="00002EE7">
        <w:rPr>
          <w:sz w:val="24"/>
          <w:szCs w:val="24"/>
        </w:rPr>
        <w:t>Коэффициент конвертации:</w:t>
      </w:r>
    </w:p>
    <w:p w14:paraId="28188855" w14:textId="77777777" w:rsidR="00585736" w:rsidRPr="00F96BAE" w:rsidRDefault="00A306B1" w:rsidP="00DB5201">
      <w:pPr>
        <w:spacing w:before="240"/>
        <w:jc w:val="both"/>
        <w:rPr>
          <w:b/>
          <w:i/>
          <w:sz w:val="24"/>
          <w:szCs w:val="24"/>
        </w:rPr>
      </w:pPr>
      <w:r w:rsidRPr="00F96BAE">
        <w:rPr>
          <w:b/>
          <w:i/>
          <w:sz w:val="24"/>
          <w:szCs w:val="24"/>
        </w:rPr>
        <w:t xml:space="preserve">В одну обыкновенную акцию АО «ДГК» номинальной стоимостью 0,000000322150513287645 руб. конвертируется 0,000000473750754834772 обыкновенных акций АО «Благовещенская ТЭЦ» номинальной стоимостью 0,68 руб. </w:t>
      </w:r>
    </w:p>
    <w:p w14:paraId="5032F487" w14:textId="77777777" w:rsidR="00585736" w:rsidRPr="00F96BAE" w:rsidRDefault="00A306B1" w:rsidP="00DB5201">
      <w:pPr>
        <w:spacing w:before="240"/>
        <w:jc w:val="both"/>
        <w:rPr>
          <w:b/>
          <w:i/>
          <w:sz w:val="24"/>
          <w:szCs w:val="24"/>
        </w:rPr>
      </w:pPr>
      <w:r w:rsidRPr="00F96BAE">
        <w:rPr>
          <w:b/>
          <w:i/>
          <w:sz w:val="24"/>
          <w:szCs w:val="24"/>
        </w:rPr>
        <w:t xml:space="preserve">Если при расчете количества акций АО «ДГК», которое должен получить акционер АО «Благовещенская ТЭЦ» в результате конвертации, у какого-либо акционера АО «Благовещенская ТЭЦ» расчётное число акций будет выражено дробным числом, такое количество акций подлежит округлению до целого количества акций АО «ДГК», размещаемых в порядке конвертации. Порядок округления количества акций, выраженного дробным числом, осуществляется по правилам математического округления. </w:t>
      </w:r>
      <w:r w:rsidR="00774B54" w:rsidRPr="00F96BAE">
        <w:rPr>
          <w:b/>
          <w:i/>
          <w:sz w:val="24"/>
          <w:szCs w:val="24"/>
        </w:rPr>
        <w:t xml:space="preserve">Под правилами математического округления следует понимать метод округления, при котором значение целой акции (целых акций) не изменяется, если первая за округляемой цифра имеет значение от 0 до 4, и изменяется, увеличиваясь на единицу, если следующая цифра имеет значение от 5 до 9. </w:t>
      </w:r>
      <w:r w:rsidRPr="00F96BAE">
        <w:rPr>
          <w:b/>
          <w:i/>
          <w:sz w:val="24"/>
          <w:szCs w:val="24"/>
        </w:rPr>
        <w:t>Если в результате округления какому-либо акционеру АО «Благовещенская ТЭЦ» не будет причитаться ни одной акции, то такой акционер получит одну акцию АО «ДГК» соответствующей категории.</w:t>
      </w:r>
      <w:r w:rsidR="00585736" w:rsidRPr="00F96BAE">
        <w:rPr>
          <w:b/>
          <w:i/>
          <w:sz w:val="24"/>
          <w:szCs w:val="24"/>
        </w:rPr>
        <w:t xml:space="preserve"> </w:t>
      </w:r>
    </w:p>
    <w:p w14:paraId="4DDBBC1A" w14:textId="77777777" w:rsidR="00585736" w:rsidRDefault="00585736" w:rsidP="00002EE7">
      <w:pPr>
        <w:spacing w:before="240"/>
        <w:rPr>
          <w:b/>
          <w:i/>
          <w:sz w:val="24"/>
          <w:szCs w:val="24"/>
        </w:rPr>
      </w:pPr>
      <w:r w:rsidRPr="00F96BAE">
        <w:rPr>
          <w:b/>
          <w:i/>
          <w:sz w:val="24"/>
          <w:szCs w:val="24"/>
        </w:rPr>
        <w:lastRenderedPageBreak/>
        <w:t>Акции АО «Благовещенская ТЭЦ» признаются конвертированными в обыкновенные акции АО «ДГК» в момент внесения в Единый государственный реестр юридических лиц записи о прекращении деятельности АО «Благовещенская ТЭЦ».</w:t>
      </w:r>
    </w:p>
    <w:p w14:paraId="01CC2237" w14:textId="77777777" w:rsidR="00A10FC4" w:rsidRDefault="00A10FC4" w:rsidP="00A10FC4">
      <w:pPr>
        <w:rPr>
          <w:b/>
          <w:i/>
          <w:sz w:val="24"/>
          <w:szCs w:val="24"/>
        </w:rPr>
      </w:pPr>
    </w:p>
    <w:p w14:paraId="0F49599F" w14:textId="77777777" w:rsidR="00A10FC4" w:rsidRPr="00A10FC4" w:rsidRDefault="00A10FC4" w:rsidP="00A10FC4">
      <w:pPr>
        <w:rPr>
          <w:b/>
          <w:i/>
          <w:sz w:val="24"/>
          <w:szCs w:val="24"/>
        </w:rPr>
      </w:pPr>
      <w:r w:rsidRPr="00A10FC4">
        <w:rPr>
          <w:b/>
          <w:i/>
          <w:sz w:val="24"/>
          <w:szCs w:val="24"/>
        </w:rPr>
        <w:t>При присоединении погашаются:</w:t>
      </w:r>
    </w:p>
    <w:p w14:paraId="0BFFE0BD" w14:textId="77777777" w:rsidR="00A10FC4" w:rsidRPr="00A10FC4" w:rsidRDefault="00A10FC4" w:rsidP="0095526A">
      <w:pPr>
        <w:tabs>
          <w:tab w:val="left" w:pos="567"/>
        </w:tabs>
        <w:rPr>
          <w:b/>
          <w:i/>
          <w:sz w:val="24"/>
          <w:szCs w:val="24"/>
        </w:rPr>
      </w:pPr>
      <w:r w:rsidRPr="00A10FC4">
        <w:rPr>
          <w:b/>
          <w:i/>
          <w:sz w:val="24"/>
          <w:szCs w:val="24"/>
        </w:rPr>
        <w:t>-</w:t>
      </w:r>
      <w:r w:rsidRPr="00A10FC4">
        <w:rPr>
          <w:b/>
          <w:i/>
          <w:sz w:val="24"/>
          <w:szCs w:val="24"/>
        </w:rPr>
        <w:tab/>
        <w:t>собственные акции, принадлежащие Присоединяемому обществу;</w:t>
      </w:r>
    </w:p>
    <w:p w14:paraId="725D7113" w14:textId="77777777" w:rsidR="00A10FC4" w:rsidRPr="00A10FC4" w:rsidRDefault="00A10FC4" w:rsidP="0095526A">
      <w:pPr>
        <w:tabs>
          <w:tab w:val="left" w:pos="567"/>
        </w:tabs>
        <w:rPr>
          <w:b/>
          <w:i/>
          <w:sz w:val="24"/>
          <w:szCs w:val="24"/>
        </w:rPr>
      </w:pPr>
      <w:r w:rsidRPr="00A10FC4">
        <w:rPr>
          <w:b/>
          <w:i/>
          <w:sz w:val="24"/>
          <w:szCs w:val="24"/>
        </w:rPr>
        <w:t>-</w:t>
      </w:r>
      <w:r w:rsidRPr="00A10FC4">
        <w:rPr>
          <w:b/>
          <w:i/>
          <w:sz w:val="24"/>
          <w:szCs w:val="24"/>
        </w:rPr>
        <w:tab/>
        <w:t>акции Присоединяемого общества, принадлежащие Основному обществу;</w:t>
      </w:r>
    </w:p>
    <w:p w14:paraId="05C7CB82" w14:textId="77777777" w:rsidR="00A10FC4" w:rsidRPr="00A10FC4" w:rsidRDefault="00A10FC4" w:rsidP="0095526A">
      <w:pPr>
        <w:tabs>
          <w:tab w:val="left" w:pos="567"/>
        </w:tabs>
        <w:rPr>
          <w:b/>
          <w:i/>
          <w:sz w:val="24"/>
          <w:szCs w:val="24"/>
        </w:rPr>
      </w:pPr>
      <w:r w:rsidRPr="00A10FC4">
        <w:rPr>
          <w:b/>
          <w:i/>
          <w:sz w:val="24"/>
          <w:szCs w:val="24"/>
        </w:rPr>
        <w:t>-</w:t>
      </w:r>
      <w:r w:rsidRPr="00A10FC4">
        <w:rPr>
          <w:b/>
          <w:i/>
          <w:sz w:val="24"/>
          <w:szCs w:val="24"/>
        </w:rPr>
        <w:tab/>
        <w:t>принадлежащие Присоединяемому обществу акции Основного общества.</w:t>
      </w:r>
    </w:p>
    <w:p w14:paraId="3E2A4FE3" w14:textId="77777777" w:rsidR="00FE0FCB" w:rsidRPr="00CE4A2C" w:rsidRDefault="00462215" w:rsidP="00462215">
      <w:pPr>
        <w:spacing w:before="240"/>
        <w:rPr>
          <w:b/>
          <w:sz w:val="24"/>
          <w:szCs w:val="24"/>
        </w:rPr>
      </w:pPr>
      <w:r w:rsidRPr="00462215">
        <w:rPr>
          <w:sz w:val="24"/>
          <w:szCs w:val="24"/>
        </w:rPr>
        <w:t>4.3. Цена (цены) или порядок определения цены размещения ценных бумаг</w:t>
      </w:r>
      <w:r w:rsidR="00FE0FCB">
        <w:rPr>
          <w:sz w:val="24"/>
          <w:szCs w:val="24"/>
        </w:rPr>
        <w:t xml:space="preserve">. </w:t>
      </w:r>
      <w:r w:rsidR="00FE0FCB" w:rsidRPr="00F96BAE">
        <w:rPr>
          <w:b/>
          <w:i/>
          <w:sz w:val="24"/>
          <w:szCs w:val="24"/>
        </w:rPr>
        <w:t>Не применимо.</w:t>
      </w:r>
    </w:p>
    <w:p w14:paraId="78479A24" w14:textId="77777777" w:rsidR="00462215" w:rsidRPr="00CE4A2C" w:rsidRDefault="00462215" w:rsidP="00462215">
      <w:pPr>
        <w:spacing w:before="240"/>
        <w:rPr>
          <w:sz w:val="24"/>
          <w:szCs w:val="24"/>
        </w:rPr>
      </w:pPr>
      <w:r w:rsidRPr="00462215">
        <w:rPr>
          <w:sz w:val="24"/>
          <w:szCs w:val="24"/>
        </w:rPr>
        <w:t>4.4. Условия и порядок оплаты ценных бумаг</w:t>
      </w:r>
      <w:r w:rsidR="00A068CA">
        <w:rPr>
          <w:sz w:val="24"/>
          <w:szCs w:val="24"/>
        </w:rPr>
        <w:t xml:space="preserve">. </w:t>
      </w:r>
      <w:r w:rsidR="00A068CA" w:rsidRPr="00F96BAE">
        <w:rPr>
          <w:b/>
          <w:i/>
          <w:sz w:val="24"/>
          <w:szCs w:val="24"/>
        </w:rPr>
        <w:t>Не применимо.</w:t>
      </w:r>
    </w:p>
    <w:p w14:paraId="0FA97EE4" w14:textId="27487A2B" w:rsidR="000B0DA7" w:rsidRPr="000B0DA7" w:rsidRDefault="00462215" w:rsidP="00F96BAE">
      <w:pPr>
        <w:spacing w:before="240"/>
        <w:jc w:val="both"/>
        <w:rPr>
          <w:b/>
          <w:i/>
          <w:sz w:val="24"/>
          <w:szCs w:val="24"/>
        </w:rPr>
      </w:pPr>
      <w:r w:rsidRPr="00462215">
        <w:rPr>
          <w:sz w:val="24"/>
          <w:szCs w:val="24"/>
        </w:rPr>
        <w:t xml:space="preserve">4.5. Источники собственных средств, за счет которых осуществляется формирование уставного </w:t>
      </w:r>
      <w:r w:rsidRPr="0040607C">
        <w:rPr>
          <w:sz w:val="24"/>
          <w:szCs w:val="24"/>
        </w:rPr>
        <w:t>капитала эмитента</w:t>
      </w:r>
      <w:r w:rsidR="009E52A5" w:rsidRPr="0040607C">
        <w:rPr>
          <w:sz w:val="24"/>
          <w:szCs w:val="24"/>
        </w:rPr>
        <w:t xml:space="preserve">: </w:t>
      </w:r>
      <w:r w:rsidR="000B0DA7" w:rsidRPr="000B0DA7">
        <w:rPr>
          <w:b/>
          <w:i/>
          <w:sz w:val="24"/>
          <w:szCs w:val="24"/>
        </w:rPr>
        <w:t xml:space="preserve">Сумма увеличения уставного капитала </w:t>
      </w:r>
      <w:r w:rsidR="000B0DA7">
        <w:rPr>
          <w:b/>
          <w:i/>
          <w:sz w:val="24"/>
          <w:szCs w:val="24"/>
        </w:rPr>
        <w:t>АО «ДГК»</w:t>
      </w:r>
      <w:r w:rsidR="000B0DA7" w:rsidRPr="000B0DA7">
        <w:rPr>
          <w:b/>
          <w:i/>
          <w:sz w:val="24"/>
          <w:szCs w:val="24"/>
        </w:rPr>
        <w:t>,</w:t>
      </w:r>
      <w:r w:rsidR="00641749">
        <w:rPr>
          <w:b/>
          <w:i/>
          <w:sz w:val="24"/>
          <w:szCs w:val="24"/>
        </w:rPr>
        <w:t xml:space="preserve"> к которому присоединяется АО «Благовещенская ТЭЦ», </w:t>
      </w:r>
      <w:r w:rsidR="000B0DA7" w:rsidRPr="000B0DA7">
        <w:rPr>
          <w:b/>
          <w:i/>
          <w:sz w:val="24"/>
          <w:szCs w:val="24"/>
        </w:rPr>
        <w:t>формируется за счет уставн</w:t>
      </w:r>
      <w:r w:rsidR="000B0DA7">
        <w:rPr>
          <w:b/>
          <w:i/>
          <w:sz w:val="24"/>
          <w:szCs w:val="24"/>
        </w:rPr>
        <w:t>ого</w:t>
      </w:r>
      <w:r w:rsidR="000B0DA7" w:rsidRPr="000B0DA7">
        <w:rPr>
          <w:b/>
          <w:i/>
          <w:sz w:val="24"/>
          <w:szCs w:val="24"/>
        </w:rPr>
        <w:t xml:space="preserve"> капитал</w:t>
      </w:r>
      <w:r w:rsidR="000B0DA7">
        <w:rPr>
          <w:b/>
          <w:i/>
          <w:sz w:val="24"/>
          <w:szCs w:val="24"/>
        </w:rPr>
        <w:t>а</w:t>
      </w:r>
      <w:r w:rsidR="000B0DA7" w:rsidRPr="000B0DA7">
        <w:rPr>
          <w:b/>
          <w:i/>
          <w:sz w:val="24"/>
          <w:szCs w:val="24"/>
        </w:rPr>
        <w:t xml:space="preserve"> </w:t>
      </w:r>
      <w:r w:rsidR="000B0DA7">
        <w:rPr>
          <w:b/>
          <w:i/>
          <w:sz w:val="24"/>
          <w:szCs w:val="24"/>
        </w:rPr>
        <w:t xml:space="preserve">АО «Благовещенская ТЭЦ» </w:t>
      </w:r>
      <w:r w:rsidR="000B0DA7" w:rsidRPr="000B0DA7">
        <w:rPr>
          <w:b/>
          <w:i/>
          <w:sz w:val="24"/>
          <w:szCs w:val="24"/>
        </w:rPr>
        <w:t xml:space="preserve">и (или) за счет иных собственных средств (в том числе за счет добавочного капитала, нераспределенной прибыли и других) </w:t>
      </w:r>
      <w:r w:rsidR="000B0DA7">
        <w:rPr>
          <w:b/>
          <w:i/>
          <w:sz w:val="24"/>
          <w:szCs w:val="24"/>
        </w:rPr>
        <w:t>АО «ДГК»,</w:t>
      </w:r>
      <w:r w:rsidR="000B0DA7" w:rsidRPr="000B0DA7">
        <w:rPr>
          <w:b/>
          <w:i/>
          <w:sz w:val="24"/>
          <w:szCs w:val="24"/>
        </w:rPr>
        <w:t xml:space="preserve"> и (или) АО «Благовещенская ТЭЦ».</w:t>
      </w:r>
    </w:p>
    <w:p w14:paraId="5FF30836" w14:textId="6B8734C9" w:rsidR="00462215" w:rsidRPr="00462215" w:rsidRDefault="00462215" w:rsidP="00462215">
      <w:pPr>
        <w:spacing w:before="240"/>
        <w:rPr>
          <w:sz w:val="24"/>
          <w:szCs w:val="24"/>
        </w:rPr>
      </w:pPr>
      <w:r w:rsidRPr="00462215">
        <w:rPr>
          <w:sz w:val="24"/>
          <w:szCs w:val="24"/>
        </w:rPr>
        <w:t>5. Иные сведения</w:t>
      </w:r>
    </w:p>
    <w:p w14:paraId="098EFA21" w14:textId="77777777" w:rsidR="00462215" w:rsidRPr="00F96BAE" w:rsidRDefault="00774B54" w:rsidP="00774B54">
      <w:pPr>
        <w:spacing w:before="240"/>
        <w:rPr>
          <w:b/>
          <w:i/>
          <w:sz w:val="24"/>
          <w:szCs w:val="24"/>
        </w:rPr>
      </w:pPr>
      <w:r w:rsidRPr="00F96BAE">
        <w:rPr>
          <w:b/>
          <w:i/>
          <w:sz w:val="24"/>
          <w:szCs w:val="24"/>
        </w:rPr>
        <w:t>Иные сведения отсутствуют.</w:t>
      </w:r>
    </w:p>
    <w:sectPr w:rsidR="00462215" w:rsidRPr="00F96BAE" w:rsidSect="009843DF">
      <w:headerReference w:type="default" r:id="rId6"/>
      <w:type w:val="continuous"/>
      <w:pgSz w:w="11907" w:h="16840" w:code="9"/>
      <w:pgMar w:top="709" w:right="850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46EF" w14:textId="77777777" w:rsidR="00675551" w:rsidRDefault="00675551">
      <w:r>
        <w:separator/>
      </w:r>
    </w:p>
  </w:endnote>
  <w:endnote w:type="continuationSeparator" w:id="0">
    <w:p w14:paraId="5AFA217D" w14:textId="77777777" w:rsidR="00675551" w:rsidRDefault="0067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8CB33" w14:textId="77777777" w:rsidR="00675551" w:rsidRDefault="00675551">
      <w:r>
        <w:separator/>
      </w:r>
    </w:p>
  </w:footnote>
  <w:footnote w:type="continuationSeparator" w:id="0">
    <w:p w14:paraId="298CB59B" w14:textId="77777777" w:rsidR="00675551" w:rsidRDefault="0067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86C3" w14:textId="77777777" w:rsidR="00064425" w:rsidRPr="00462215" w:rsidRDefault="00064425" w:rsidP="00462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2EE7"/>
    <w:rsid w:val="00003DEA"/>
    <w:rsid w:val="000058E6"/>
    <w:rsid w:val="0001083A"/>
    <w:rsid w:val="000207BD"/>
    <w:rsid w:val="00026768"/>
    <w:rsid w:val="00056BCD"/>
    <w:rsid w:val="00064425"/>
    <w:rsid w:val="00066A21"/>
    <w:rsid w:val="000A4480"/>
    <w:rsid w:val="000B0DA7"/>
    <w:rsid w:val="000B11DD"/>
    <w:rsid w:val="000F1A83"/>
    <w:rsid w:val="000F1DE3"/>
    <w:rsid w:val="00105E20"/>
    <w:rsid w:val="001214C8"/>
    <w:rsid w:val="00122C45"/>
    <w:rsid w:val="00124B04"/>
    <w:rsid w:val="001541CF"/>
    <w:rsid w:val="0018658B"/>
    <w:rsid w:val="001A7D2F"/>
    <w:rsid w:val="001C3B32"/>
    <w:rsid w:val="001C53EC"/>
    <w:rsid w:val="001D4735"/>
    <w:rsid w:val="001E7ECD"/>
    <w:rsid w:val="001F61E1"/>
    <w:rsid w:val="00212310"/>
    <w:rsid w:val="00225A8E"/>
    <w:rsid w:val="00236F6F"/>
    <w:rsid w:val="0025596D"/>
    <w:rsid w:val="00265895"/>
    <w:rsid w:val="0027216A"/>
    <w:rsid w:val="00282DA7"/>
    <w:rsid w:val="00284882"/>
    <w:rsid w:val="002B4E21"/>
    <w:rsid w:val="002B6953"/>
    <w:rsid w:val="002D34C4"/>
    <w:rsid w:val="002D5264"/>
    <w:rsid w:val="00321442"/>
    <w:rsid w:val="003472E7"/>
    <w:rsid w:val="00384CCA"/>
    <w:rsid w:val="00397E7E"/>
    <w:rsid w:val="003A1D8F"/>
    <w:rsid w:val="003B5B7D"/>
    <w:rsid w:val="003B6F1C"/>
    <w:rsid w:val="003C518E"/>
    <w:rsid w:val="003F1C34"/>
    <w:rsid w:val="0040607C"/>
    <w:rsid w:val="00443A08"/>
    <w:rsid w:val="00452BFE"/>
    <w:rsid w:val="00462215"/>
    <w:rsid w:val="00464035"/>
    <w:rsid w:val="0047235D"/>
    <w:rsid w:val="004B0B99"/>
    <w:rsid w:val="00512E2A"/>
    <w:rsid w:val="005211D3"/>
    <w:rsid w:val="005228CC"/>
    <w:rsid w:val="005402EB"/>
    <w:rsid w:val="00544893"/>
    <w:rsid w:val="0054545D"/>
    <w:rsid w:val="00585736"/>
    <w:rsid w:val="005958B0"/>
    <w:rsid w:val="005B4E0E"/>
    <w:rsid w:val="005C567E"/>
    <w:rsid w:val="005D6050"/>
    <w:rsid w:val="005D645E"/>
    <w:rsid w:val="00640446"/>
    <w:rsid w:val="00641749"/>
    <w:rsid w:val="00675551"/>
    <w:rsid w:val="006814C8"/>
    <w:rsid w:val="006A7FE2"/>
    <w:rsid w:val="006B7805"/>
    <w:rsid w:val="007272F0"/>
    <w:rsid w:val="00774B54"/>
    <w:rsid w:val="00780237"/>
    <w:rsid w:val="00796123"/>
    <w:rsid w:val="007B385C"/>
    <w:rsid w:val="007E51BA"/>
    <w:rsid w:val="00800F42"/>
    <w:rsid w:val="00801A9E"/>
    <w:rsid w:val="00802202"/>
    <w:rsid w:val="008314F4"/>
    <w:rsid w:val="00835D4C"/>
    <w:rsid w:val="008378A0"/>
    <w:rsid w:val="00853651"/>
    <w:rsid w:val="0087786F"/>
    <w:rsid w:val="00886A30"/>
    <w:rsid w:val="008A37E9"/>
    <w:rsid w:val="008B2187"/>
    <w:rsid w:val="008F4394"/>
    <w:rsid w:val="009038F7"/>
    <w:rsid w:val="0092387A"/>
    <w:rsid w:val="0094450C"/>
    <w:rsid w:val="0095526A"/>
    <w:rsid w:val="00965FD1"/>
    <w:rsid w:val="009755B6"/>
    <w:rsid w:val="009843DF"/>
    <w:rsid w:val="00984E8F"/>
    <w:rsid w:val="009926B1"/>
    <w:rsid w:val="00993D1F"/>
    <w:rsid w:val="009D7CF1"/>
    <w:rsid w:val="009E12E8"/>
    <w:rsid w:val="009E1EA3"/>
    <w:rsid w:val="009E52A5"/>
    <w:rsid w:val="00A00C6E"/>
    <w:rsid w:val="00A068CA"/>
    <w:rsid w:val="00A10FC4"/>
    <w:rsid w:val="00A15DBD"/>
    <w:rsid w:val="00A17461"/>
    <w:rsid w:val="00A306B1"/>
    <w:rsid w:val="00A3472B"/>
    <w:rsid w:val="00A94ED8"/>
    <w:rsid w:val="00AD1148"/>
    <w:rsid w:val="00AD1E86"/>
    <w:rsid w:val="00AD5B31"/>
    <w:rsid w:val="00B021A9"/>
    <w:rsid w:val="00B053DA"/>
    <w:rsid w:val="00B0563C"/>
    <w:rsid w:val="00B14E22"/>
    <w:rsid w:val="00B373EE"/>
    <w:rsid w:val="00B376C5"/>
    <w:rsid w:val="00B52C74"/>
    <w:rsid w:val="00B66943"/>
    <w:rsid w:val="00B675FB"/>
    <w:rsid w:val="00BA273A"/>
    <w:rsid w:val="00C01EE4"/>
    <w:rsid w:val="00C172E0"/>
    <w:rsid w:val="00C2003F"/>
    <w:rsid w:val="00C208D4"/>
    <w:rsid w:val="00C211F1"/>
    <w:rsid w:val="00C34E0E"/>
    <w:rsid w:val="00C374D5"/>
    <w:rsid w:val="00C4458F"/>
    <w:rsid w:val="00C81AE5"/>
    <w:rsid w:val="00CA72CB"/>
    <w:rsid w:val="00CB553E"/>
    <w:rsid w:val="00CD0247"/>
    <w:rsid w:val="00CE4A2C"/>
    <w:rsid w:val="00D25B17"/>
    <w:rsid w:val="00DA3A13"/>
    <w:rsid w:val="00DB1A92"/>
    <w:rsid w:val="00DB5201"/>
    <w:rsid w:val="00DB799B"/>
    <w:rsid w:val="00DF587E"/>
    <w:rsid w:val="00E446A1"/>
    <w:rsid w:val="00E51975"/>
    <w:rsid w:val="00E51B2E"/>
    <w:rsid w:val="00E83D10"/>
    <w:rsid w:val="00E9142B"/>
    <w:rsid w:val="00E9178B"/>
    <w:rsid w:val="00ED195C"/>
    <w:rsid w:val="00EE31BB"/>
    <w:rsid w:val="00F201E0"/>
    <w:rsid w:val="00F23796"/>
    <w:rsid w:val="00F65804"/>
    <w:rsid w:val="00F96BAE"/>
    <w:rsid w:val="00FC136F"/>
    <w:rsid w:val="00FC5F96"/>
    <w:rsid w:val="00FD6AAF"/>
    <w:rsid w:val="00FE0FCB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A465F"/>
  <w14:defaultImageDpi w14:val="0"/>
  <w15:docId w15:val="{9D703A99-E16D-4010-AF5D-EFE81DFC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058E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448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544893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54489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3472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8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28CC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552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526A"/>
  </w:style>
  <w:style w:type="character" w:customStyle="1" w:styleId="af2">
    <w:name w:val="Текст примечания Знак"/>
    <w:basedOn w:val="a0"/>
    <w:link w:val="af1"/>
    <w:uiPriority w:val="99"/>
    <w:semiHidden/>
    <w:rsid w:val="0095526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52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5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695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Старовецкая Анна Васильевна</cp:lastModifiedBy>
  <cp:revision>37</cp:revision>
  <cp:lastPrinted>2022-04-28T23:25:00Z</cp:lastPrinted>
  <dcterms:created xsi:type="dcterms:W3CDTF">2022-03-24T06:34:00Z</dcterms:created>
  <dcterms:modified xsi:type="dcterms:W3CDTF">2022-06-27T22:40:00Z</dcterms:modified>
</cp:coreProperties>
</file>