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93" w:firstLine="0"/>
        <w:jc w:val="right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Приложение № 1</w:t>
      </w:r>
      <w:r>
        <w:rPr>
          <w:sz w:val="20"/>
          <w:szCs w:val="20"/>
        </w:rPr>
        <w:t xml:space="preserve">9 </w:t>
      </w:r>
      <w:r>
        <w:rPr>
          <w:sz w:val="20"/>
          <w:szCs w:val="20"/>
        </w:rPr>
        <w:t xml:space="preserve">к Договору подряда </w:t>
      </w:r>
      <w:r>
        <w:rPr>
          <w:sz w:val="20"/>
          <w:szCs w:val="20"/>
        </w:rPr>
        <w:t xml:space="preserve">№ _____</w:t>
      </w:r>
      <w:r>
        <w:rPr>
          <w:sz w:val="20"/>
          <w:szCs w:val="20"/>
        </w:rPr>
        <w:t xml:space="preserve">_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 «____» __________ 20</w:t>
      </w:r>
      <w:r>
        <w:rPr>
          <w:sz w:val="20"/>
          <w:szCs w:val="20"/>
        </w:rPr>
        <w:t xml:space="preserve">2_</w:t>
      </w:r>
      <w:bookmarkStart w:id="0" w:name="_GoBack"/>
      <w:r/>
      <w:bookmarkEnd w:id="0"/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88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Порядок передачи и </w:t>
      </w:r>
      <w:r>
        <w:rPr>
          <w:b/>
          <w:sz w:val="22"/>
          <w:szCs w:val="22"/>
        </w:rPr>
        <w:t xml:space="preserve">учета</w:t>
      </w:r>
      <w:r>
        <w:rPr>
          <w:b/>
          <w:sz w:val="22"/>
          <w:szCs w:val="22"/>
        </w:rPr>
        <w:t xml:space="preserve"> Давальческих материалов и запасных частей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38"/>
        <w:numPr>
          <w:ilvl w:val="0"/>
          <w:numId w:val="1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Давальческие материалы и запасные части передаются Заказчиком Подрядчику для выполнения работ по договору в следующем порядке: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8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получения Давальческих материалов и запасных частей в соответствии с технической документацией или сметой на выполнение соответствующего Рабо</w:t>
      </w:r>
      <w:r>
        <w:rPr>
          <w:sz w:val="22"/>
          <w:szCs w:val="22"/>
        </w:rPr>
        <w:t xml:space="preserve">т, Подрядчик должен направить Заказчику письменную заявку, подписанную уполномоченным лицом, с указанием номенклатуры и количества Давальческих материалов и запасных частей и приложением документов, подтверждающих право на получение материальных ценностей;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8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в течение 3 (</w:t>
      </w:r>
      <w:r>
        <w:rPr>
          <w:sz w:val="22"/>
          <w:szCs w:val="22"/>
        </w:rPr>
        <w:t xml:space="preserve">трех</w:t>
      </w:r>
      <w:r>
        <w:rPr>
          <w:sz w:val="22"/>
          <w:szCs w:val="22"/>
        </w:rPr>
        <w:t xml:space="preserve">) рабочих дней со дня получения письменной заявки от Подрядчика или в иной согласованный с Подрядчиком срок осуществляет передачу, а Подрядчик </w:t>
      </w:r>
      <w:r>
        <w:rPr>
          <w:sz w:val="22"/>
          <w:szCs w:val="22"/>
        </w:rPr>
        <w:t xml:space="preserve">приемку</w:t>
      </w:r>
      <w:r>
        <w:rPr>
          <w:sz w:val="22"/>
          <w:szCs w:val="22"/>
        </w:rPr>
        <w:t xml:space="preserve">, доставку до Объекта, разгрузку и складирование полученных со склада Заказчика Давальческих материалов и запасных частей по Накладной на отпуск материалов на сторону, оформленной по унифицированной форме № М-15, </w:t>
      </w:r>
      <w:r>
        <w:rPr>
          <w:sz w:val="22"/>
          <w:szCs w:val="22"/>
        </w:rPr>
        <w:t xml:space="preserve">утвержденной</w:t>
      </w:r>
      <w:r>
        <w:rPr>
          <w:sz w:val="22"/>
          <w:szCs w:val="22"/>
        </w:rPr>
        <w:t xml:space="preserve"> Постановлением Госкомстата России от 30.10.1997 №71а</w:t>
      </w:r>
      <w:r>
        <w:rPr>
          <w:sz w:val="22"/>
          <w:szCs w:val="22"/>
        </w:rPr>
        <w:t xml:space="preserve">) (далее – Накладная М-15);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8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проверка соответствия </w:t>
      </w:r>
      <w:r>
        <w:rPr>
          <w:sz w:val="22"/>
          <w:szCs w:val="22"/>
        </w:rPr>
        <w:t xml:space="preserve">показателей качества передаваемых Заказчиком Подрядчику Давальческих материалов и запасных частей требованиям стандартов, технических условий и их комплектности (входной контроль качества) осуществляется Подрядчиком до момента подписания Накладной М-15. В </w:t>
      </w:r>
      <w:r>
        <w:rPr>
          <w:sz w:val="22"/>
          <w:szCs w:val="22"/>
        </w:rPr>
        <w:t xml:space="preserve">случае</w:t>
      </w:r>
      <w:r>
        <w:rPr>
          <w:sz w:val="22"/>
          <w:szCs w:val="22"/>
        </w:rPr>
        <w:t xml:space="preserve"> обнаружения каких-либо недостатков Подрядчик должен незамедлительно сообщить об этом Заказчику, </w:t>
      </w:r>
      <w:r>
        <w:rPr>
          <w:sz w:val="22"/>
          <w:szCs w:val="22"/>
        </w:rPr>
        <w:t xml:space="preserve">приемка</w:t>
      </w:r>
      <w:r>
        <w:rPr>
          <w:sz w:val="22"/>
          <w:szCs w:val="22"/>
        </w:rPr>
        <w:t xml:space="preserve"> Давальческих материалов и запасных частей по Накладной М-15 в этом случае не осуществляется.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8"/>
        <w:numPr>
          <w:ilvl w:val="0"/>
          <w:numId w:val="1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Подрядчик </w:t>
      </w:r>
      <w:r>
        <w:rPr>
          <w:sz w:val="22"/>
          <w:szCs w:val="22"/>
        </w:rPr>
        <w:t xml:space="preserve">несет</w:t>
      </w:r>
      <w:r>
        <w:rPr>
          <w:sz w:val="22"/>
          <w:szCs w:val="22"/>
        </w:rPr>
        <w:t xml:space="preserve"> риск случайной гибели, а также ответственность за сохранность, утрату или повреждение полученных Давальческих материалов и запасных частей </w:t>
      </w:r>
      <w:r>
        <w:rPr>
          <w:sz w:val="22"/>
          <w:szCs w:val="22"/>
        </w:rPr>
        <w:t xml:space="preserve">с даты подписания</w:t>
      </w:r>
      <w:r>
        <w:rPr>
          <w:sz w:val="22"/>
          <w:szCs w:val="22"/>
        </w:rPr>
        <w:t xml:space="preserve"> им Накладной М-15 до даты подписания Сторонами Акта о расходе Давальческих материалов и запасных частей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8"/>
        <w:numPr>
          <w:ilvl w:val="0"/>
          <w:numId w:val="1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Подрядчик обязан обеспечить эффективное использование по назначению переданных Заказчиком Давальческих материалов и запасных частей. </w:t>
      </w:r>
      <w:r>
        <w:rPr>
          <w:sz w:val="22"/>
          <w:szCs w:val="22"/>
        </w:rPr>
        <w:t xml:space="preserve">В случае повреждения, перерасхода, либо утраты Давальческих материалов и запасных частей Подрядчик обязан выполнить свои обязательства по Договору с использованием </w:t>
      </w:r>
      <w:r>
        <w:rPr>
          <w:sz w:val="22"/>
          <w:szCs w:val="22"/>
        </w:rPr>
        <w:t xml:space="preserve">приобретенных</w:t>
      </w:r>
      <w:r>
        <w:rPr>
          <w:sz w:val="22"/>
          <w:szCs w:val="22"/>
        </w:rPr>
        <w:t xml:space="preserve"> за свой </w:t>
      </w:r>
      <w:r>
        <w:rPr>
          <w:sz w:val="22"/>
          <w:szCs w:val="22"/>
        </w:rPr>
        <w:t xml:space="preserve">счет</w:t>
      </w:r>
      <w:r>
        <w:rPr>
          <w:sz w:val="22"/>
          <w:szCs w:val="22"/>
        </w:rPr>
        <w:t xml:space="preserve"> аналогичных материалов и запасных частей без возмещения их стоимости Заказчиком.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8"/>
        <w:numPr>
          <w:ilvl w:val="0"/>
          <w:numId w:val="1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Ежемесячно, не позднее последнего дня </w:t>
      </w:r>
      <w:r>
        <w:rPr>
          <w:sz w:val="22"/>
          <w:szCs w:val="22"/>
        </w:rPr>
        <w:t xml:space="preserve">отчетного</w:t>
      </w:r>
      <w:r>
        <w:rPr>
          <w:sz w:val="22"/>
          <w:szCs w:val="22"/>
        </w:rPr>
        <w:t xml:space="preserve"> месяца,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</w:t>
      </w:r>
      <w:r>
        <w:rPr>
          <w:color w:val="000000"/>
          <w:spacing w:val="-3"/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8"/>
        <w:numPr>
          <w:ilvl w:val="0"/>
          <w:numId w:val="1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Возврат Заказчику неиспользованных Подрядчиком Давальческих материалов и запасных частей осуществляется по Накладной М-15 в течение 3 (</w:t>
      </w:r>
      <w:r>
        <w:rPr>
          <w:sz w:val="22"/>
          <w:szCs w:val="22"/>
        </w:rPr>
        <w:t xml:space="preserve">трех</w:t>
      </w:r>
      <w:r>
        <w:rPr>
          <w:sz w:val="22"/>
          <w:szCs w:val="22"/>
        </w:rPr>
        <w:t xml:space="preserve">) рабочих дней после окончания Работ по Объекту, а также в случае прекращения (расторжения) Договора. </w:t>
      </w:r>
      <w:r>
        <w:rPr>
          <w:sz w:val="22"/>
          <w:szCs w:val="22"/>
        </w:rPr>
        <w:t xml:space="preserve">В случае невозврата Заказчику неиспользованных Подрядчиком Давальческих материалов и запа</w:t>
      </w:r>
      <w:r>
        <w:rPr>
          <w:sz w:val="22"/>
          <w:szCs w:val="22"/>
        </w:rPr>
        <w:t xml:space="preserve">сных частей, в предусмотренный настоящим пунктом срок, а также в тех случаях, когда Подрядчик допустит необоснованный перерасход Давальческих материалов и запасных частей при выполнении Работ, Заказчик вправе потребовать от Подрядчика возмещения стоимости </w:t>
      </w:r>
      <w:r>
        <w:rPr>
          <w:sz w:val="22"/>
          <w:szCs w:val="22"/>
        </w:rPr>
        <w:t xml:space="preserve">невозвращенных</w:t>
      </w:r>
      <w:r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/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или перерасходованных Давальческих материалов и запасных частей, в том числе, </w:t>
      </w:r>
      <w:r>
        <w:rPr>
          <w:sz w:val="22"/>
          <w:szCs w:val="22"/>
        </w:rPr>
        <w:t xml:space="preserve">путем</w:t>
      </w:r>
      <w:r>
        <w:rPr>
          <w:sz w:val="22"/>
          <w:szCs w:val="22"/>
        </w:rPr>
        <w:t xml:space="preserve"> удержания их стоимости из выплачиваемых Подрядчику</w:t>
      </w:r>
      <w:r>
        <w:rPr>
          <w:sz w:val="22"/>
          <w:szCs w:val="22"/>
        </w:rPr>
        <w:t xml:space="preserve"> по Договору сумм. Стоимость </w:t>
      </w:r>
      <w:r>
        <w:rPr>
          <w:sz w:val="22"/>
          <w:szCs w:val="22"/>
        </w:rPr>
        <w:t xml:space="preserve">невозвращенных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/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перерасходованных Давальческих материалов и запасных частей определяется исходя из цены, указанной в Накладной М-15.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8"/>
        <w:ind w:left="0"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Форма</w:t>
      </w:r>
      <w:r>
        <w:t xml:space="preserve"> </w:t>
      </w:r>
      <w:r>
        <w:rPr>
          <w:sz w:val="22"/>
          <w:szCs w:val="22"/>
        </w:rPr>
        <w:t xml:space="preserve">Акта о расходе Давальческих материалов и запасных частей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839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1559"/>
        <w:gridCol w:w="567"/>
        <w:gridCol w:w="1276"/>
        <w:gridCol w:w="1275"/>
        <w:gridCol w:w="1418"/>
        <w:gridCol w:w="850"/>
        <w:gridCol w:w="1418"/>
      </w:tblGrid>
      <w:tr>
        <w:tblPrEx/>
        <w:trPr/>
        <w:tc>
          <w:tcPr>
            <w:tcW w:w="710" w:type="dxa"/>
            <w:vMerge w:val="restart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 xml:space="preserve">п</w:t>
            </w:r>
            <w:r>
              <w:rPr>
                <w:sz w:val="18"/>
                <w:szCs w:val="18"/>
              </w:rPr>
              <w:t xml:space="preserve">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Обоснование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Ед. изм.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tcW w:w="6237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 ресурсов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W w:w="710" w:type="dxa"/>
            <w:vMerge w:val="continue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Фактически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норме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Перерасход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Цена, 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Сумма, 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W w:w="710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 заказчика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38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5103"/>
      </w:tblGrid>
      <w:tr>
        <w:tblPrEx/>
        <w:trPr/>
        <w:tc>
          <w:tcPr>
            <w:tcW w:w="524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ПОДРЯДЧИК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  <w:r>
              <w:rPr>
                <w:color w:val="ffffff" w:themeColor="background1"/>
                <w:sz w:val="24"/>
                <w:szCs w:val="24"/>
              </w:rPr>
              <w:t xml:space="preserve">СП «Приморские тепловые сети» АО «ДГК»</w:t>
            </w:r>
            <w:r>
              <w:rPr>
                <w:color w:val="ffffff" w:themeColor="background1"/>
                <w:sz w:val="24"/>
                <w:szCs w:val="24"/>
              </w:rPr>
            </w:r>
            <w:r>
              <w:rPr>
                <w:color w:val="ffffff" w:themeColor="background1"/>
                <w:sz w:val="24"/>
                <w:szCs w:val="24"/>
              </w:rPr>
            </w:r>
          </w:p>
          <w:p>
            <w:pPr>
              <w:spacing w:line="240" w:lineRule="auto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</w:r>
            <w:r>
              <w:rPr>
                <w:color w:val="ffffff" w:themeColor="background1"/>
                <w:sz w:val="24"/>
                <w:szCs w:val="24"/>
              </w:rPr>
            </w:r>
            <w:r>
              <w:rPr>
                <w:color w:val="ffffff" w:themeColor="background1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 xml:space="preserve">_________________Д. А. Вишняков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1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5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5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5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5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5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5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5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5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4"/>
    <w:next w:val="834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5"/>
    <w:link w:val="677"/>
    <w:uiPriority w:val="10"/>
    <w:rPr>
      <w:sz w:val="48"/>
      <w:szCs w:val="48"/>
    </w:rPr>
  </w:style>
  <w:style w:type="paragraph" w:styleId="679">
    <w:name w:val="Subtitle"/>
    <w:basedOn w:val="834"/>
    <w:next w:val="834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5"/>
    <w:link w:val="679"/>
    <w:uiPriority w:val="11"/>
    <w:rPr>
      <w:sz w:val="24"/>
      <w:szCs w:val="24"/>
    </w:rPr>
  </w:style>
  <w:style w:type="paragraph" w:styleId="681">
    <w:name w:val="Quote"/>
    <w:basedOn w:val="834"/>
    <w:next w:val="834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4"/>
    <w:next w:val="834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4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5"/>
    <w:link w:val="685"/>
    <w:uiPriority w:val="99"/>
  </w:style>
  <w:style w:type="paragraph" w:styleId="687">
    <w:name w:val="Footer"/>
    <w:basedOn w:val="834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5"/>
    <w:link w:val="687"/>
    <w:uiPriority w:val="99"/>
  </w:style>
  <w:style w:type="paragraph" w:styleId="689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7"/>
    <w:uiPriority w:val="99"/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paragraph" w:styleId="838">
    <w:name w:val="List Paragraph"/>
    <w:basedOn w:val="8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table" w:styleId="839">
    <w:name w:val="Table Grid"/>
    <w:basedOn w:val="83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revision>17</cp:revision>
  <dcterms:created xsi:type="dcterms:W3CDTF">2022-08-12T00:41:00Z</dcterms:created>
  <dcterms:modified xsi:type="dcterms:W3CDTF">2024-10-29T08:08:47Z</dcterms:modified>
</cp:coreProperties>
</file>