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Приложение №1 к Документации о закупке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none"/>
        </w:rPr>
      </w:pPr>
      <w:r>
        <w:rPr>
          <w:rFonts w:eastAsia="Calibri"/>
          <w:b/>
          <w:sz w:val="24"/>
          <w:szCs w:val="24"/>
          <w:highlight w:val="none"/>
        </w:rPr>
        <w:t xml:space="preserve">Технические требования на выполнение работ</w:t>
      </w: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none"/>
        </w:rPr>
      </w:pP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</w:rPr>
        <w:t xml:space="preserve">«</w:t>
      </w:r>
      <w:r>
        <w:rPr>
          <w:rFonts w:eastAsia="Calibri"/>
          <w:sz w:val="24"/>
          <w:szCs w:val="24"/>
          <w:highlight w:val="none"/>
        </w:rPr>
        <w:t xml:space="preserve">О</w:t>
      </w:r>
      <w:r>
        <w:rPr>
          <w:rFonts w:eastAsia="Calibri"/>
          <w:sz w:val="24"/>
          <w:szCs w:val="24"/>
          <w:highlight w:val="none"/>
        </w:rPr>
        <w:t xml:space="preserve">КПД2 33.20.60.000 Выполнение строительно-монтажных работ по установке резервных трубопроводов азота и водорода от электролизной установки до турбогене</w:t>
      </w:r>
      <w:r>
        <w:rPr>
          <w:rFonts w:eastAsia="Calibri"/>
          <w:sz w:val="24"/>
          <w:szCs w:val="24"/>
          <w:highlight w:val="none"/>
        </w:rPr>
        <w:t xml:space="preserve">р</w:t>
      </w:r>
      <w:r>
        <w:rPr>
          <w:rFonts w:eastAsia="Calibri"/>
          <w:sz w:val="24"/>
          <w:szCs w:val="24"/>
          <w:highlight w:val="none"/>
        </w:rPr>
        <w:t xml:space="preserve">аторов (ТГ-1,2,3) с модернизацией газовых постов генераторов (ТГ-1,2,3) на Нерюнгринской ГРЭС в пос. Сере</w:t>
      </w:r>
      <w:r>
        <w:rPr>
          <w:rFonts w:eastAsia="Calibri"/>
          <w:sz w:val="24"/>
          <w:szCs w:val="24"/>
          <w:highlight w:val="none"/>
        </w:rPr>
        <w:t xml:space="preserve">бряный бор респ. Саха (Якутия) в рамках инвестиционного проекта J_505-НГ-83</w:t>
      </w:r>
      <w:r>
        <w:rPr>
          <w:rFonts w:eastAsia="Calibri"/>
          <w:sz w:val="24"/>
          <w:szCs w:val="24"/>
          <w:highlight w:val="none"/>
        </w:rPr>
        <w:t xml:space="preserve">»    </w:t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none"/>
        </w:rPr>
      </w:pP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none"/>
        </w:rPr>
      </w:pPr>
      <w:r>
        <w:rPr>
          <w:rFonts w:eastAsia="Calibri"/>
          <w:b/>
          <w:sz w:val="24"/>
          <w:szCs w:val="24"/>
          <w:highlight w:val="none"/>
        </w:rPr>
        <w:t xml:space="preserve">Лот № </w:t>
      </w:r>
      <w:r>
        <w:rPr>
          <w:rFonts w:eastAsia="Calibri"/>
          <w:b/>
          <w:sz w:val="24"/>
          <w:szCs w:val="24"/>
          <w:highlight w:val="none"/>
        </w:rPr>
        <w:t xml:space="preserve">22123004-ТПИР ОБСЛ-2025-ДГК</w:t>
      </w: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  <w:highlight w:val="none"/>
        </w:rPr>
      </w:pPr>
      <w:r>
        <w:rPr>
          <w:rFonts w:eastAsia="Calibri"/>
          <w:b/>
          <w:i/>
          <w:sz w:val="24"/>
          <w:szCs w:val="24"/>
          <w:highlight w:val="none"/>
        </w:rPr>
      </w:r>
      <w:r>
        <w:rPr>
          <w:rFonts w:eastAsia="Calibri"/>
          <w:b/>
          <w:i/>
          <w:sz w:val="24"/>
          <w:szCs w:val="24"/>
          <w:highlight w:val="none"/>
        </w:rPr>
      </w:r>
      <w:r>
        <w:rPr>
          <w:rFonts w:eastAsia="Calibri"/>
          <w:b/>
          <w:i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jc w:val="both"/>
        <w:keepLines/>
        <w:keepNext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br w:type="page" w:clear="all"/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СОДЕРЖАНИЕ</w:t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tbl>
      <w:tblPr>
        <w:tblStyle w:val="99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56"/>
        <w:gridCol w:w="8509"/>
        <w:gridCol w:w="658"/>
      </w:tblGrid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Общие сведения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1.2.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Обозначения и сокращения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закупаемой продукции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</w:t>
            </w: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Цель выполнения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Таблица 1. Перечень объектов заказчика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35"/>
        </w:trPr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</w:t>
            </w: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Существующее положение дел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</w:t>
            </w:r>
            <w:r>
              <w:rPr>
                <w:sz w:val="24"/>
                <w:szCs w:val="24"/>
                <w:highlight w:val="none"/>
              </w:rPr>
              <w:t xml:space="preserve">5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продукции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объемам и срокам выполнения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2.1.1.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видам и объемам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Таблица 2. Перечень и объем выполняемых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2.1.2.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срокам выполнения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Таблица 3. Требования по срокам выполнения работ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2.2.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качеству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Таблица 4. Требования к качеству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документации по ценообразованию на этапе закупки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14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документации по ценообразованию на этапе заключения (исполнения) договора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14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5.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Приложения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14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pStyle w:val="980"/>
        <w:numPr>
          <w:ilvl w:val="0"/>
          <w:numId w:val="0"/>
        </w:numPr>
        <w:rPr>
          <w:b w:val="0"/>
          <w:i/>
          <w:highlight w:val="none"/>
        </w:rPr>
      </w:pPr>
      <w:r>
        <w:rPr>
          <w:b w:val="0"/>
          <w:i/>
          <w:highlight w:val="none"/>
        </w:rPr>
      </w:r>
      <w:r>
        <w:rPr>
          <w:b w:val="0"/>
          <w:i/>
          <w:highlight w:val="none"/>
        </w:rPr>
      </w:r>
      <w:r>
        <w:rPr>
          <w:b w:val="0"/>
          <w:i/>
          <w:highlight w:val="none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  <w:highlight w:val="none"/>
        </w:rPr>
      </w:pPr>
      <w:r>
        <w:rPr>
          <w:rFonts w:eastAsia="Calibri"/>
          <w:b/>
          <w:i/>
          <w:sz w:val="24"/>
          <w:szCs w:val="24"/>
          <w:highlight w:val="none"/>
        </w:rPr>
        <w:br w:type="page" w:clear="all"/>
      </w:r>
      <w:r>
        <w:rPr>
          <w:rFonts w:eastAsia="Calibri"/>
          <w:b/>
          <w:i/>
          <w:sz w:val="24"/>
          <w:szCs w:val="24"/>
          <w:highlight w:val="none"/>
        </w:rPr>
      </w:r>
      <w:r>
        <w:rPr>
          <w:rFonts w:eastAsia="Calibri"/>
          <w:b/>
          <w:i/>
          <w:sz w:val="24"/>
          <w:szCs w:val="24"/>
          <w:highlight w:val="none"/>
        </w:rPr>
      </w:r>
    </w:p>
    <w:p>
      <w:pPr>
        <w:pStyle w:val="979"/>
        <w:ind w:left="0" w:firstLine="0"/>
        <w:jc w:val="center"/>
        <w:rPr>
          <w:sz w:val="24"/>
          <w:highlight w:val="none"/>
        </w:rPr>
      </w:pPr>
      <w:r>
        <w:rPr>
          <w:highlight w:val="none"/>
        </w:rPr>
      </w:r>
      <w:bookmarkStart w:id="0" w:name="_Toc46743506"/>
      <w:r>
        <w:rPr>
          <w:highlight w:val="none"/>
        </w:rPr>
      </w:r>
      <w:bookmarkStart w:id="1" w:name="_Toc54646397"/>
      <w:r>
        <w:rPr>
          <w:sz w:val="24"/>
          <w:highlight w:val="none"/>
        </w:rPr>
        <w:t xml:space="preserve">ОБЩИЕ СВЕДЕНИЯ</w:t>
      </w:r>
      <w:r>
        <w:rPr>
          <w:sz w:val="24"/>
          <w:highlight w:val="none"/>
        </w:rPr>
      </w:r>
      <w:r>
        <w:rPr>
          <w:sz w:val="24"/>
          <w:highlight w:val="none"/>
        </w:rPr>
      </w:r>
    </w:p>
    <w:p>
      <w:pPr>
        <w:pStyle w:val="982"/>
        <w:ind w:left="432" w:right="0" w:firstLine="135"/>
        <w:rPr>
          <w:highlight w:val="none"/>
        </w:rPr>
      </w:pPr>
      <w:r>
        <w:rPr>
          <w:highlight w:val="none"/>
        </w:rPr>
        <w:t xml:space="preserve">Обозначения и сокращения</w:t>
      </w:r>
      <w:r>
        <w:rPr>
          <w:highlight w:val="none"/>
        </w:rPr>
      </w:r>
      <w:r>
        <w:rPr>
          <w:highlight w:val="none"/>
        </w:rPr>
      </w:r>
    </w:p>
    <w:tbl>
      <w:tblPr>
        <w:tblStyle w:val="993"/>
        <w:tblW w:w="0" w:type="auto"/>
        <w:tblLayout w:type="fixed"/>
        <w:tblLook w:val="04A0" w:firstRow="1" w:lastRow="0" w:firstColumn="1" w:lastColumn="0" w:noHBand="0" w:noVBand="1"/>
      </w:tblPr>
      <w:tblGrid>
        <w:gridCol w:w="2693"/>
        <w:gridCol w:w="6236"/>
      </w:tblGrid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highlight w:val="none"/>
              </w:rPr>
              <w:t xml:space="preserve">респ.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highlight w:val="none"/>
              </w:rPr>
              <w:t xml:space="preserve">республика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ind w:left="0"/>
              <w:jc w:val="left"/>
              <w:rPr>
                <w:bCs w:val="0"/>
                <w:highlight w:val="none"/>
              </w:rPr>
            </w:pPr>
            <w:r>
              <w:rPr>
                <w:b w:val="0"/>
                <w:highlight w:val="none"/>
              </w:rPr>
              <w:t xml:space="preserve">пос.</w:t>
            </w:r>
            <w:r>
              <w:rPr>
                <w:bCs w:val="0"/>
                <w:highlight w:val="none"/>
              </w:rPr>
            </w:r>
            <w:r>
              <w:rPr>
                <w:bCs w:val="0"/>
                <w:highlight w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highlight w:val="none"/>
              </w:rPr>
              <w:t xml:space="preserve">поселок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highlight w:val="none"/>
              </w:rPr>
              <w:t xml:space="preserve">пгт.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highlight w:val="none"/>
              </w:rPr>
              <w:t xml:space="preserve">поселок городского типа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пром</w:t>
            </w:r>
            <w:r>
              <w:rPr>
                <w:b w:val="0"/>
                <w:bCs w:val="0"/>
                <w:highlight w:val="none"/>
              </w:rPr>
              <w:t xml:space="preserve">.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промышленной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ТЭК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территориальный энергетический комплекс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ФЗ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федеральный закон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СНиП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строительные </w:t>
            </w:r>
            <w:r>
              <w:rPr>
                <w:b w:val="0"/>
                <w:bCs w:val="0"/>
                <w:highlight w:val="none"/>
              </w:rPr>
              <w:t xml:space="preserve">нормы  и</w:t>
            </w:r>
            <w:r>
              <w:rPr>
                <w:b w:val="0"/>
                <w:bCs w:val="0"/>
                <w:highlight w:val="none"/>
              </w:rPr>
              <w:t xml:space="preserve"> правила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2693" w:type="dxa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ТТ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  <w:tc>
          <w:tcPr>
            <w:tcW w:w="6236" w:type="dxa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0"/>
              </w:numPr>
              <w:jc w:val="left"/>
              <w:rPr>
                <w:b w:val="0"/>
                <w:bCs w:val="0"/>
                <w:highlight w:val="none"/>
                <w14:ligatures w14:val="none"/>
              </w:rPr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технические требования</w:t>
            </w:r>
            <w:r>
              <w:rPr>
                <w:b w:val="0"/>
                <w:bCs w:val="0"/>
                <w:highlight w:val="none"/>
                <w14:ligatures w14:val="none"/>
              </w:rPr>
            </w:r>
            <w:r>
              <w:rPr>
                <w:b w:val="0"/>
                <w:bCs w:val="0"/>
                <w:highlight w:val="none"/>
                <w14:ligatures w14:val="none"/>
              </w:rPr>
            </w:r>
          </w:p>
        </w:tc>
      </w:tr>
    </w:tbl>
    <w:p>
      <w:pPr>
        <w:pStyle w:val="982"/>
        <w:ind w:left="432" w:right="0" w:hanging="7"/>
        <w:rPr>
          <w:highlight w:val="none"/>
        </w:rPr>
      </w:pPr>
      <w:r>
        <w:rPr>
          <w:highlight w:val="none"/>
        </w:rPr>
        <w:t xml:space="preserve">Наименование закупаемой продукции</w:t>
      </w:r>
      <w:bookmarkStart w:id="2" w:name="_Toc46743507"/>
      <w:r>
        <w:rPr>
          <w:highlight w:val="none"/>
        </w:rPr>
      </w:r>
      <w:bookmarkStart w:id="3" w:name="_Toc54646398"/>
      <w:r>
        <w:rPr>
          <w:highlight w:val="none"/>
        </w:rPr>
      </w:r>
      <w:bookmarkEnd w:id="0"/>
      <w:r>
        <w:rPr>
          <w:highlight w:val="none"/>
        </w:rPr>
      </w:r>
      <w:bookmarkEnd w:id="1"/>
      <w:r>
        <w:rPr>
          <w:highlight w:val="none"/>
        </w:rPr>
      </w:r>
      <w:r>
        <w:rPr>
          <w:highlight w:val="none"/>
        </w:rPr>
      </w:r>
    </w:p>
    <w:p>
      <w:pPr>
        <w:pStyle w:val="982"/>
        <w:numPr>
          <w:ilvl w:val="0"/>
          <w:numId w:val="0"/>
        </w:numPr>
        <w:rPr>
          <w:highlight w:val="none"/>
        </w:rPr>
      </w:pPr>
      <w:r>
        <w:rPr>
          <w:b w:val="0"/>
          <w:bCs w:val="0"/>
          <w:highlight w:val="none"/>
        </w:rPr>
        <w:t xml:space="preserve">Выполнение строительно-монтажных работ  по </w:t>
      </w:r>
      <w:r>
        <w:rPr>
          <w:b w:val="0"/>
          <w:bCs w:val="0"/>
          <w:highlight w:val="none"/>
        </w:rPr>
        <w:t xml:space="preserve">установке резервных трубопроводов азота и водорода от электролизной установки до турбогене</w:t>
      </w:r>
      <w:r>
        <w:rPr>
          <w:b w:val="0"/>
          <w:bCs w:val="0"/>
          <w:highlight w:val="none"/>
        </w:rPr>
        <w:t xml:space="preserve">р</w:t>
      </w:r>
      <w:r>
        <w:rPr>
          <w:b w:val="0"/>
          <w:bCs w:val="0"/>
          <w:highlight w:val="none"/>
        </w:rPr>
        <w:t xml:space="preserve">аторов (ТГ-1,2,3) с модернизацией газовых постов генераторов (ТГ-1,2,3) на Нерюнгринской ГРЭС</w:t>
      </w:r>
      <w:r>
        <w:rPr>
          <w:highlight w:val="none"/>
        </w:rPr>
      </w:r>
      <w:r>
        <w:rPr>
          <w:highlight w:val="none"/>
        </w:rPr>
      </w:r>
    </w:p>
    <w:p>
      <w:pPr>
        <w:pStyle w:val="982"/>
        <w:ind w:left="432" w:right="0" w:hanging="7"/>
        <w:rPr>
          <w:highlight w:val="none"/>
        </w:rPr>
      </w:pPr>
      <w:r>
        <w:rPr>
          <w:b w:val="0"/>
          <w:bCs w:val="0"/>
          <w:highlight w:val="none"/>
        </w:rPr>
        <w:t xml:space="preserve"> </w:t>
      </w:r>
      <w:r>
        <w:rPr>
          <w:highlight w:val="none"/>
        </w:rPr>
        <w:t xml:space="preserve">Цель </w:t>
      </w:r>
      <w:bookmarkEnd w:id="2"/>
      <w:r>
        <w:rPr>
          <w:highlight w:val="none"/>
        </w:rPr>
        <w:t xml:space="preserve">выполнения работ</w:t>
      </w:r>
      <w:bookmarkEnd w:id="3"/>
      <w:r>
        <w:rPr>
          <w:highlight w:val="none"/>
        </w:rPr>
      </w:r>
      <w:r>
        <w:rPr>
          <w:highlight w:val="none"/>
        </w:rPr>
      </w:r>
    </w:p>
    <w:p>
      <w:pPr>
        <w:pStyle w:val="982"/>
        <w:numPr>
          <w:ilvl w:val="0"/>
          <w:numId w:val="0"/>
        </w:numPr>
        <w:jc w:val="both"/>
        <w:rPr>
          <w:b w:val="0"/>
          <w:highlight w:val="none"/>
        </w:rPr>
      </w:pPr>
      <w:r>
        <w:rPr>
          <w:b w:val="0"/>
          <w:bCs w:val="0"/>
          <w:highlight w:val="none"/>
        </w:rPr>
        <w:t xml:space="preserve">Улучшение технико-экономических показателей основных средств</w:t>
      </w:r>
      <w:r>
        <w:rPr>
          <w:b w:val="0"/>
          <w:bCs w:val="0"/>
          <w:highlight w:val="none"/>
        </w:rPr>
        <w:t xml:space="preserve">. </w:t>
      </w:r>
      <w:r>
        <w:rPr>
          <w:highlight w:val="none"/>
        </w:rPr>
        <w:t xml:space="preserve"> </w:t>
      </w:r>
      <w:bookmarkStart w:id="4" w:name="_Toc46743508"/>
      <w:r>
        <w:rPr>
          <w:highlight w:val="none"/>
        </w:rPr>
      </w:r>
      <w:bookmarkStart w:id="5" w:name="_Toc54646399"/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pStyle w:val="9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highlight w:val="none"/>
        </w:rPr>
      </w:r>
      <w:bookmarkStart w:id="6" w:name="_Toc54646400"/>
      <w:r>
        <w:rPr>
          <w:highlight w:val="none"/>
        </w:rPr>
      </w:r>
      <w:bookmarkEnd w:id="4"/>
      <w:r>
        <w:rPr>
          <w:highlight w:val="none"/>
        </w:rPr>
      </w:r>
      <w:bookmarkEnd w:id="5"/>
      <w:r>
        <w:rPr>
          <w:sz w:val="24"/>
          <w:szCs w:val="24"/>
          <w:highlight w:val="none"/>
        </w:rPr>
        <w:t xml:space="preserve">Таблица 1. Перечень объектов заказчика</w:t>
      </w:r>
      <w:bookmarkEnd w:id="6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72"/>
        <w:gridCol w:w="2693"/>
        <w:gridCol w:w="1984"/>
        <w:gridCol w:w="2552"/>
      </w:tblGrid>
      <w:tr>
        <w:tblPrEx/>
        <w:trPr/>
        <w:tc>
          <w:tcPr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п/п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87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объекта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Расположение объекта </w:t>
            </w:r>
            <w:r>
              <w:rPr>
                <w:sz w:val="24"/>
                <w:szCs w:val="24"/>
                <w:highlight w:val="none"/>
              </w:rPr>
              <w:br/>
            </w:r>
            <w:r>
              <w:rPr>
                <w:iCs/>
                <w:sz w:val="24"/>
                <w:szCs w:val="24"/>
                <w:highlight w:val="none"/>
              </w:rPr>
              <w:t xml:space="preserve">(место производства работ)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  <w:highlight w:val="none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Примечания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7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187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5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24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3"/>
              </w:num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87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Установка резервных трубопроводов азота и водорода от электролизной установки до турбогене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аторов (ТГ-1,2,3) с модернизацией газовых постов генераторов (ТГ-1,2,3)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СП «Нерюнгринск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ая ГРЭС» АО «ДГК»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Российская Федерация, Республика Саха (Якутия) Нерюнгринский район, пгт.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Серебряный Бор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,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Нерюнгринская ГРЭС</w:t>
            </w: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Новое основное средство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Резервные трубопроводы азота и водорода от электролизной установки до турбогене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аторов (ТГ-1,2,3) с модернизацией газовых постов генераторов (ТГ-1,2,3)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Style w:val="982"/>
        <w:ind w:left="567" w:right="0" w:firstLine="0"/>
        <w:rPr>
          <w:highlight w:val="none"/>
        </w:rPr>
      </w:pPr>
      <w:r>
        <w:rPr>
          <w:b w:val="0"/>
          <w:bCs w:val="0"/>
          <w:highlight w:val="none"/>
        </w:rPr>
        <w:t xml:space="preserve"> </w:t>
      </w:r>
      <w:r>
        <w:rPr>
          <w:highlight w:val="none"/>
        </w:rPr>
        <w:t xml:space="preserve">Существующее положение дел</w:t>
      </w:r>
      <w:r>
        <w:rPr>
          <w:highlight w:val="none"/>
        </w:rPr>
      </w:r>
      <w:r>
        <w:rPr>
          <w:highlight w:val="none"/>
        </w:rPr>
      </w:r>
    </w:p>
    <w:p>
      <w:pPr>
        <w:pStyle w:val="982"/>
        <w:numPr>
          <w:ilvl w:val="0"/>
          <w:numId w:val="0"/>
        </w:numPr>
        <w:ind w:firstLine="567"/>
        <w:jc w:val="both"/>
        <w:rPr>
          <w:b w:val="0"/>
          <w:bCs w:val="0"/>
          <w:highlight w:val="none"/>
          <w14:ligatures w14:val="none"/>
        </w:rPr>
      </w:pPr>
      <w:r>
        <w:rPr>
          <w:b w:val="0"/>
          <w:bCs w:val="0"/>
          <w:highlight w:val="none"/>
        </w:rPr>
        <w:t xml:space="preserve">Система водородного охлаждения турбогенератора ТГВ-200-2МУ3, </w:t>
      </w:r>
      <w:r>
        <w:rPr>
          <w:b w:val="0"/>
          <w:bCs w:val="0"/>
          <w:highlight w:val="none"/>
        </w:rPr>
        <w:t xml:space="preserve">предназначена для обеспечения возможности заполнения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турбогенератора водородом, азотом и воздухом, а также поддержания номинального </w:t>
      </w:r>
      <w:r>
        <w:rPr>
          <w:b w:val="0"/>
          <w:bCs w:val="0"/>
          <w:highlight w:val="none"/>
        </w:rPr>
        <w:t xml:space="preserve">давления, пополнения утечек водорода и контроля качества водорода. </w:t>
      </w:r>
      <w:r>
        <w:rPr>
          <w:b w:val="0"/>
          <w:bCs w:val="0"/>
          <w:highlight w:val="none"/>
        </w:rPr>
        <w:t xml:space="preserve">Система обеспечивает возможность заполнения турбогенератора водородом, углекислым </w:t>
      </w:r>
      <w:r>
        <w:rPr>
          <w:b w:val="0"/>
          <w:bCs w:val="0"/>
          <w:highlight w:val="none"/>
        </w:rPr>
        <w:t xml:space="preserve">газом или воздухом, а также поддержание номинального давления и пополнение утечек </w:t>
      </w:r>
      <w:r>
        <w:rPr>
          <w:b w:val="0"/>
          <w:bCs w:val="0"/>
          <w:highlight w:val="none"/>
        </w:rPr>
        <w:t xml:space="preserve">водорода, неизбежных при эксплуатации турбогенератора. </w:t>
      </w:r>
      <w:r>
        <w:rPr>
          <w:b w:val="0"/>
          <w:bCs w:val="0"/>
          <w:highlight w:val="none"/>
        </w:rPr>
        <w:t xml:space="preserve">Для безопасного заполнения турбогенератора водородом </w:t>
      </w:r>
      <w:r>
        <w:rPr>
          <w:b w:val="0"/>
          <w:bCs w:val="0"/>
          <w:highlight w:val="none"/>
        </w:rPr>
        <w:t xml:space="preserve">и</w:t>
      </w:r>
      <w:r>
        <w:rPr>
          <w:b w:val="0"/>
          <w:bCs w:val="0"/>
          <w:highlight w:val="none"/>
        </w:rPr>
        <w:t xml:space="preserve"> удаления</w:t>
      </w:r>
      <w:r>
        <w:rPr>
          <w:b w:val="0"/>
          <w:bCs w:val="0"/>
          <w:highlight w:val="none"/>
        </w:rPr>
        <w:t xml:space="preserve"> его</w:t>
      </w:r>
      <w:r>
        <w:rPr>
          <w:b w:val="0"/>
          <w:bCs w:val="0"/>
          <w:highlight w:val="none"/>
        </w:rPr>
        <w:t xml:space="preserve"> из </w:t>
      </w:r>
      <w:r>
        <w:rPr>
          <w:b w:val="0"/>
          <w:bCs w:val="0"/>
          <w:highlight w:val="none"/>
        </w:rPr>
        <w:t xml:space="preserve">турбогенератора перед заполнением воздухом используется азот.</w:t>
      </w:r>
      <w:r>
        <w:rPr>
          <w:b w:val="0"/>
          <w:bCs w:val="0"/>
          <w:highlight w:val="none"/>
          <w14:ligatures w14:val="none"/>
        </w:rPr>
      </w:r>
      <w:r>
        <w:rPr>
          <w:b w:val="0"/>
          <w:bCs w:val="0"/>
          <w:highlight w:val="none"/>
          <w14:ligatures w14:val="none"/>
        </w:rPr>
      </w:r>
    </w:p>
    <w:p>
      <w:pPr>
        <w:pStyle w:val="982"/>
        <w:ind w:left="0" w:firstLine="567"/>
        <w:jc w:val="both"/>
        <w:rPr>
          <w:highlight w:val="none"/>
        </w:rPr>
      </w:pPr>
      <w:r>
        <w:rPr>
          <w:highlight w:val="none"/>
        </w:rPr>
      </w:r>
      <w:bookmarkStart w:id="7" w:name="_Toc46743509"/>
      <w:r>
        <w:rPr>
          <w:highlight w:val="none"/>
        </w:rPr>
      </w:r>
      <w:bookmarkStart w:id="8" w:name="_Hlk49857604"/>
      <w:r>
        <w:rPr>
          <w:highlight w:val="none"/>
        </w:rPr>
      </w:r>
      <w:bookmarkStart w:id="9" w:name="_Toc54646401"/>
      <w:r>
        <w:rPr>
          <w:highlight w:val="none"/>
        </w:rPr>
        <w:t xml:space="preserve">Информация в отношении исполнения договора, </w:t>
      </w:r>
      <w:bookmarkStart w:id="10" w:name="_Hlk46492347"/>
      <w:r>
        <w:rPr>
          <w:highlight w:val="none"/>
        </w:rPr>
        <w:t xml:space="preserve">которая должна быть учтена при подготовке заявки </w:t>
      </w:r>
      <w:bookmarkEnd w:id="10"/>
      <w:r>
        <w:rPr>
          <w:highlight w:val="none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7"/>
      <w:r>
        <w:rPr>
          <w:highlight w:val="none"/>
        </w:rPr>
      </w:r>
      <w:bookmarkEnd w:id="8"/>
      <w:r>
        <w:rPr>
          <w:highlight w:val="none"/>
        </w:rPr>
      </w:r>
      <w:bookmarkEnd w:id="9"/>
      <w:r>
        <w:rPr>
          <w:highlight w:val="none"/>
        </w:rPr>
      </w:r>
      <w:r>
        <w:rPr>
          <w:highlight w:val="none"/>
        </w:rPr>
      </w:r>
    </w:p>
    <w:p>
      <w:pPr>
        <w:pStyle w:val="982"/>
        <w:numPr>
          <w:ilvl w:val="0"/>
          <w:numId w:val="0"/>
        </w:numPr>
        <w:ind w:firstLine="567"/>
        <w:jc w:val="both"/>
        <w:rPr>
          <w:b w:val="0"/>
          <w:highlight w:val="none"/>
        </w:rPr>
      </w:pPr>
      <w:r>
        <w:rPr>
          <w:highlight w:val="none"/>
        </w:rPr>
      </w:r>
      <w:r>
        <w:rPr>
          <w:b w:val="0"/>
          <w:highlight w:val="none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160" w:line="259" w:lineRule="auto"/>
        <w:rPr>
          <w:rFonts w:eastAsia="Calibri"/>
          <w:b/>
          <w:iCs/>
          <w:sz w:val="24"/>
          <w:szCs w:val="24"/>
          <w:highlight w:val="none"/>
        </w:rPr>
      </w:pPr>
      <w:r>
        <w:rPr>
          <w:highlight w:val="none"/>
        </w:rPr>
      </w:r>
      <w:bookmarkStart w:id="14" w:name="_Toc51339693"/>
      <w:r>
        <w:rPr>
          <w:highlight w:val="none"/>
        </w:rPr>
      </w:r>
      <w:bookmarkStart w:id="15" w:name="_Toc54646403"/>
      <w:r>
        <w:rPr>
          <w:iCs/>
          <w:sz w:val="24"/>
          <w:szCs w:val="24"/>
          <w:highlight w:val="none"/>
        </w:rPr>
        <w:br w:type="page" w:clear="all"/>
      </w:r>
      <w:r>
        <w:rPr>
          <w:rFonts w:eastAsia="Calibri"/>
          <w:b/>
          <w:iCs/>
          <w:sz w:val="24"/>
          <w:szCs w:val="24"/>
          <w:highlight w:val="none"/>
        </w:rPr>
      </w:r>
      <w:r>
        <w:rPr>
          <w:rFonts w:eastAsia="Calibri"/>
          <w:b/>
          <w:iCs/>
          <w:sz w:val="24"/>
          <w:szCs w:val="24"/>
          <w:highlight w:val="none"/>
        </w:rPr>
      </w:r>
    </w:p>
    <w:p>
      <w:pPr>
        <w:pStyle w:val="979"/>
        <w:ind w:left="0" w:firstLine="0"/>
        <w:jc w:val="center"/>
        <w:keepLines/>
        <w:rPr>
          <w:iCs/>
          <w:caps/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  <w:t xml:space="preserve">ТРЕБОВАНИЯ К ПРОДУКЦИИ</w:t>
      </w:r>
      <w:bookmarkEnd w:id="14"/>
      <w:r>
        <w:rPr>
          <w:highlight w:val="none"/>
        </w:rPr>
      </w:r>
      <w:bookmarkEnd w:id="15"/>
      <w:r>
        <w:rPr>
          <w:iCs/>
          <w:caps/>
          <w:sz w:val="24"/>
          <w:szCs w:val="24"/>
          <w:highlight w:val="none"/>
        </w:rPr>
      </w:r>
      <w:r>
        <w:rPr>
          <w:iCs/>
          <w:caps/>
          <w:sz w:val="24"/>
          <w:szCs w:val="24"/>
          <w:highlight w:val="none"/>
        </w:rPr>
      </w:r>
    </w:p>
    <w:p>
      <w:pPr>
        <w:pStyle w:val="982"/>
        <w:ind w:left="0" w:firstLine="567"/>
        <w:rPr>
          <w:highlight w:val="none"/>
        </w:rPr>
      </w:pPr>
      <w:r>
        <w:rPr>
          <w:highlight w:val="none"/>
        </w:rPr>
      </w:r>
      <w:bookmarkStart w:id="16" w:name="_Toc54646404"/>
      <w:r>
        <w:rPr>
          <w:highlight w:val="none"/>
        </w:rPr>
        <w:t xml:space="preserve">Требования к объемам и срокам выполнения работ</w:t>
      </w:r>
      <w:bookmarkEnd w:id="16"/>
      <w:r>
        <w:rPr>
          <w:highlight w:val="none"/>
        </w:rPr>
      </w:r>
      <w:r>
        <w:rPr>
          <w:highlight w:val="none"/>
        </w:rPr>
      </w:r>
    </w:p>
    <w:p>
      <w:pPr>
        <w:pStyle w:val="981"/>
        <w:ind w:hanging="657"/>
        <w:rPr>
          <w:highlight w:val="none"/>
        </w:rPr>
      </w:pPr>
      <w:r>
        <w:rPr>
          <w:highlight w:val="none"/>
        </w:rPr>
      </w:r>
      <w:bookmarkStart w:id="17" w:name="_Toc54646405"/>
      <w:r>
        <w:rPr>
          <w:highlight w:val="none"/>
        </w:rPr>
        <w:t xml:space="preserve">Требования к видам и объемам работ</w:t>
      </w:r>
      <w:bookmarkEnd w:id="17"/>
      <w:r>
        <w:rPr>
          <w:highlight w:val="none"/>
        </w:rPr>
      </w:r>
      <w:r>
        <w:rPr>
          <w:highlight w:val="none"/>
        </w:rPr>
      </w:r>
    </w:p>
    <w:p>
      <w:pPr>
        <w:pStyle w:val="9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highlight w:val="none"/>
        </w:rPr>
      </w:r>
      <w:bookmarkStart w:id="18" w:name="_Toc51339695"/>
      <w:r>
        <w:rPr>
          <w:highlight w:val="none"/>
        </w:rPr>
      </w:r>
      <w:bookmarkStart w:id="19" w:name="_Toc54646406"/>
      <w:r>
        <w:rPr>
          <w:sz w:val="24"/>
          <w:szCs w:val="24"/>
          <w:highlight w:val="none"/>
        </w:rPr>
        <w:t xml:space="preserve">Таблица 2. Перечень </w:t>
      </w:r>
      <w:bookmarkEnd w:id="18"/>
      <w:r>
        <w:rPr>
          <w:sz w:val="24"/>
          <w:szCs w:val="24"/>
          <w:highlight w:val="none"/>
        </w:rPr>
        <w:t xml:space="preserve">и объем выполняемых работ</w:t>
      </w:r>
      <w:bookmarkEnd w:id="19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49"/>
        <w:gridCol w:w="1985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п/п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работ / </w:t>
            </w:r>
            <w:r>
              <w:rPr>
                <w:sz w:val="24"/>
                <w:szCs w:val="24"/>
                <w:highlight w:val="none"/>
              </w:rPr>
              <w:t xml:space="preserve">виды </w:t>
            </w:r>
            <w:r>
              <w:rPr>
                <w:sz w:val="24"/>
                <w:szCs w:val="24"/>
                <w:highlight w:val="none"/>
              </w:rPr>
              <w:t xml:space="preserve">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Единица измерения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Количество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ind w:right="193"/>
              <w:tabs>
                <w:tab w:val="left" w:pos="365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  <w:t xml:space="preserve">Выполнение строительно-монтажных работ по установке резервных трубопроводов азота и водорода от электролизной установки до турбогенеРаторов (ТГ-1,2,3) с модернизацией газовых постов генераторов (ТГ-1,2,3) на Нерюнгринской ГРЭС в пос. Сере</w:t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  <w:t xml:space="preserve">бряный бор респ. Саха (Якутия) в рамках инвестиционного проекта J_505-НГ-83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В 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соответствии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 с ведомостью 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объемов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 работ (Приложение №1 к настоящим Техническим требованиям)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bCs/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pStyle w:val="981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bookmarkStart w:id="20" w:name="_Toc51339696"/>
      <w:r>
        <w:rPr>
          <w:color w:val="000000" w:themeColor="text1"/>
          <w:highlight w:val="none"/>
        </w:rPr>
      </w:r>
      <w:bookmarkStart w:id="21" w:name="_Toc54646407"/>
      <w:r>
        <w:rPr>
          <w:color w:val="000000" w:themeColor="text1"/>
          <w:highlight w:val="none"/>
        </w:rPr>
        <w:t xml:space="preserve">Требования </w:t>
      </w:r>
      <w:bookmarkEnd w:id="20"/>
      <w:r>
        <w:rPr>
          <w:color w:val="000000" w:themeColor="text1"/>
          <w:highlight w:val="none"/>
        </w:rPr>
        <w:t xml:space="preserve">к срокам выполнения работ</w:t>
      </w:r>
      <w:bookmarkEnd w:id="21"/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979"/>
        <w:numPr>
          <w:ilvl w:val="0"/>
          <w:numId w:val="0"/>
        </w:numPr>
        <w:keepLines/>
        <w:spacing w:before="240"/>
        <w:rPr>
          <w:color w:val="000000" w:themeColor="text1"/>
          <w:sz w:val="24"/>
          <w:szCs w:val="24"/>
          <w:highlight w:val="none"/>
        </w:rPr>
      </w:pPr>
      <w:r>
        <w:rPr>
          <w:color w:val="000000" w:themeColor="text1"/>
          <w:highlight w:val="none"/>
        </w:rPr>
      </w:r>
      <w:bookmarkStart w:id="0" w:name="undefined"/>
      <w:r>
        <w:rPr>
          <w:color w:val="000000" w:themeColor="text1"/>
          <w:highlight w:val="none"/>
        </w:rPr>
      </w:r>
      <w:bookmarkStart w:id="0" w:name="undefined"/>
      <w:r>
        <w:rPr>
          <w:color w:val="000000" w:themeColor="text1"/>
          <w:highlight w:val="none"/>
        </w:rPr>
      </w:r>
      <w:bookmarkStart w:id="0" w:name="undefined"/>
      <w:r>
        <w:rPr>
          <w:color w:val="000000" w:themeColor="text1"/>
          <w:sz w:val="24"/>
          <w:szCs w:val="24"/>
          <w:highlight w:val="none"/>
        </w:rPr>
        <w:t xml:space="preserve">Таблица 3. </w:t>
      </w:r>
      <w:bookmarkStart w:id="0" w:name="undefined"/>
      <w:r>
        <w:rPr>
          <w:color w:val="000000" w:themeColor="text1"/>
          <w:sz w:val="24"/>
          <w:szCs w:val="24"/>
          <w:highlight w:val="none"/>
        </w:rPr>
        <w:t xml:space="preserve">Требования по срокам </w:t>
      </w:r>
      <w:bookmarkEnd w:id="0"/>
      <w:r>
        <w:rPr>
          <w:color w:val="000000" w:themeColor="text1"/>
          <w:sz w:val="24"/>
          <w:szCs w:val="24"/>
          <w:highlight w:val="none"/>
        </w:rPr>
        <w:t xml:space="preserve">выполнения работ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977"/>
        <w:gridCol w:w="2835"/>
      </w:tblGrid>
      <w:tr>
        <w:tblPrEx/>
        <w:trPr/>
        <w:tc>
          <w:tcPr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№ п/п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Наименование работ/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виды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Требования к началу срока выполнения работ/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виды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Требования к окончанию срока выполнения работ /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виды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работ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4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001"/>
              <w:jc w:val="center"/>
              <w:keepNext w:val="0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01"/>
              <w:jc w:val="center"/>
              <w:keepNext w:val="0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16"/>
              </w:num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right="193"/>
              <w:tabs>
                <w:tab w:val="left" w:pos="365" w:leader="none"/>
              </w:tabs>
              <w:rPr>
                <w:color w:val="000000" w:themeColor="text1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  <w:t xml:space="preserve">Выполнение строительно-монтажных работ по установке резервных трубопроводов азота и водорода от электролизной установки до турбогенераторов (ТГ-1,2,3) с модернизацией газовых постов генераторов (ТГ-1,2,3) на Нерюнгринской ГРЭС в пос. Сере</w:t>
            </w:r>
            <w:r>
              <w:rPr>
                <w:rFonts w:eastAsia="Calibri"/>
                <w:color w:val="000000" w:themeColor="text1"/>
                <w:sz w:val="24"/>
                <w:szCs w:val="24"/>
                <w:highlight w:val="none"/>
              </w:rPr>
              <w:t xml:space="preserve">бряный бор респ. Саха (Якутия) в рамках инвестиционного проекта J_505-НГ-83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 даты, следующей за датой заключения договора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30.09.2025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keepLines/>
        <w:keepNext/>
        <w:spacing w:before="240" w:after="60"/>
        <w:rPr>
          <w:rFonts w:eastAsia="Calibri"/>
          <w:b/>
          <w:sz w:val="24"/>
          <w:szCs w:val="24"/>
          <w:highlight w:val="none"/>
        </w:rPr>
        <w:sectPr>
          <w:footnotePr/>
          <w:endnotePr/>
          <w:type w:val="nextPage"/>
          <w:pgSz w:w="11906" w:h="16838" w:orient="portrait"/>
          <w:pgMar w:top="993" w:right="849" w:bottom="992" w:left="1134" w:header="709" w:footer="709" w:gutter="0"/>
          <w:cols w:num="1" w:sep="0" w:space="708" w:equalWidth="1"/>
          <w:docGrid w:linePitch="360"/>
          <w:titlePg/>
        </w:sectPr>
        <w:outlineLvl w:val="0"/>
      </w:pP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  <w:r>
        <w:rPr>
          <w:rFonts w:eastAsia="Calibri"/>
          <w:b/>
          <w:sz w:val="24"/>
          <w:szCs w:val="24"/>
          <w:highlight w:val="none"/>
        </w:rPr>
      </w:r>
    </w:p>
    <w:p>
      <w:pPr>
        <w:pStyle w:val="982"/>
        <w:rPr>
          <w:highlight w:val="none"/>
        </w:rPr>
      </w:pPr>
      <w:r>
        <w:rPr>
          <w:highlight w:val="none"/>
        </w:rPr>
        <w:t xml:space="preserve">Требования к качеству работ</w:t>
      </w:r>
      <w:r>
        <w:rPr>
          <w:highlight w:val="none"/>
        </w:rPr>
      </w:r>
      <w:r>
        <w:rPr>
          <w:highlight w:val="none"/>
        </w:rPr>
      </w:r>
    </w:p>
    <w:p>
      <w:pPr>
        <w:pStyle w:val="9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Таблица 4. Требования к </w:t>
      </w:r>
      <w:r>
        <w:rPr>
          <w:sz w:val="24"/>
          <w:szCs w:val="24"/>
          <w:highlight w:val="none"/>
        </w:rPr>
        <w:t xml:space="preserve">качеству работ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120"/>
        <w:rPr>
          <w:rStyle w:val="1003"/>
          <w:b w:val="0"/>
          <w:i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Наименование работ/этапа работ (позиция №1 Таблицы 2</w:t>
      </w:r>
      <w:r>
        <w:rPr>
          <w:b/>
          <w:bCs/>
          <w:sz w:val="24"/>
          <w:szCs w:val="24"/>
          <w:highlight w:val="none"/>
        </w:rPr>
        <w:t xml:space="preserve">): </w:t>
      </w:r>
      <w:r>
        <w:rPr>
          <w:rFonts w:eastAsia="Calibri"/>
          <w:sz w:val="24"/>
          <w:szCs w:val="24"/>
          <w:highlight w:val="none"/>
        </w:rPr>
        <w:t xml:space="preserve">Выполнение строительно-монтажных работ по установке резервных трубопроводов азота и водорода от электролизной установки до турбогене</w:t>
      </w:r>
      <w:r>
        <w:rPr>
          <w:rFonts w:eastAsia="Calibri"/>
          <w:sz w:val="24"/>
          <w:szCs w:val="24"/>
          <w:highlight w:val="none"/>
        </w:rPr>
        <w:t xml:space="preserve">р</w:t>
      </w:r>
      <w:r>
        <w:rPr>
          <w:rFonts w:eastAsia="Calibri"/>
          <w:sz w:val="24"/>
          <w:szCs w:val="24"/>
          <w:highlight w:val="none"/>
        </w:rPr>
        <w:t xml:space="preserve">аторов (ТГ-1,2,3) с модернизацией газовых постов генераторов (ТГ-1,2,3) на Нерюнгринской ГРЭС в пос. Сере</w:t>
      </w:r>
      <w:r>
        <w:rPr>
          <w:rFonts w:eastAsia="Calibri"/>
          <w:sz w:val="24"/>
          <w:szCs w:val="24"/>
          <w:highlight w:val="none"/>
        </w:rPr>
        <w:t xml:space="preserve">бряный бор респ. Саха (Якутия) в рамках инвестиционного проекта J_505-НГ-83</w:t>
      </w:r>
      <w:r>
        <w:rPr>
          <w:rStyle w:val="1003"/>
          <w:b w:val="0"/>
          <w:iCs/>
          <w:sz w:val="24"/>
          <w:szCs w:val="24"/>
          <w:highlight w:val="none"/>
        </w:rPr>
      </w:r>
      <w:r>
        <w:rPr>
          <w:rStyle w:val="1003"/>
          <w:b w:val="0"/>
          <w:iCs/>
          <w:sz w:val="24"/>
          <w:szCs w:val="24"/>
          <w:highlight w:val="none"/>
        </w:rPr>
      </w:r>
    </w:p>
    <w:tbl>
      <w:tblPr>
        <w:tblStyle w:val="993"/>
        <w:tblW w:w="15422" w:type="dxa"/>
        <w:tblInd w:w="-5" w:type="dxa"/>
        <w:tblLook w:val="04A0" w:firstRow="1" w:lastRow="0" w:firstColumn="1" w:lastColumn="0" w:noHBand="0" w:noVBand="1"/>
      </w:tblPr>
      <w:tblGrid>
        <w:gridCol w:w="864"/>
        <w:gridCol w:w="10029"/>
        <w:gridCol w:w="2120"/>
        <w:gridCol w:w="2409"/>
      </w:tblGrid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№ п/п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5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002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2"/>
              </w:numPr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  <w:p>
            <w:pPr>
              <w:spacing w:before="60" w:after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4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Строительно-монтажные работы.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1000"/>
              <w:keepNext w:val="0"/>
              <w:spacing w:before="0"/>
              <w:rPr>
                <w:rFonts w:eastAsia="Times New Roman"/>
                <w:highlight w:val="none"/>
              </w:rPr>
              <w:outlineLvl w:val="2"/>
            </w:pPr>
            <w:r>
              <w:rPr>
                <w:rFonts w:eastAsia="Times New Roman"/>
                <w:highlight w:val="none"/>
              </w:rPr>
            </w:r>
            <w:r>
              <w:rPr>
                <w:rFonts w:eastAsia="Times New Roman"/>
                <w:highlight w:val="none"/>
              </w:rPr>
            </w:r>
            <w:r>
              <w:rPr>
                <w:rFonts w:eastAsia="Times New Roman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1.1.</w:t>
            </w:r>
            <w:r>
              <w:rPr>
                <w:bCs/>
                <w:sz w:val="24"/>
                <w:szCs w:val="24"/>
                <w:highlight w:val="none"/>
              </w:rPr>
              <w:t xml:space="preserve">5</w:t>
            </w:r>
            <w:r>
              <w:rPr>
                <w:bCs/>
                <w:sz w:val="24"/>
                <w:szCs w:val="24"/>
                <w:highlight w:val="none"/>
              </w:rPr>
              <w:t xml:space="preserve">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W w:w="1002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Работы должны быть выполнены в соответствии с РД по шифру 20-09/08 (приложение № 2 к ТТ), техническим заданием (приложение № 1 к договору подряда), утвержденным сторонами графиком выполнения и финансирования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работ (приложение № 3 к договору подряда), разработанным Подрядчиком и согласованным Заказчиком (до начала производства работ) проектом производства работ, действующими регламентами и нормативно-технической документацией (НТД) и требованиями договора подря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да, являющегося неотъемлемой частью Документации о закупке.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spacing w:before="0"/>
              <w:rPr>
                <w:rFonts w:eastAsia="Times New Roman"/>
                <w:highlight w:val="none"/>
              </w:rPr>
              <w:outlineLvl w:val="2"/>
            </w:pPr>
            <w:r>
              <w:rPr>
                <w:rFonts w:eastAsia="Times New Roman"/>
                <w:highlight w:val="none"/>
              </w:rPr>
            </w:r>
            <w:r>
              <w:rPr>
                <w:rFonts w:eastAsia="Times New Roman"/>
                <w:highlight w:val="none"/>
              </w:rPr>
            </w:r>
            <w:r>
              <w:rPr>
                <w:rFonts w:eastAsia="Times New Roman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1.2.1.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Разработка и согласование проекта производства работ (ППР).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  <w:lang w:val="en-US"/>
              </w:rPr>
              <w:t xml:space="preserve">-</w:t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1.2.2.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jc w:val="both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Предоставить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Работ. 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  <w:lang w:val="en-US"/>
              </w:rPr>
              <w:t xml:space="preserve">-</w:t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1.2.3.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Предоставить контакты и должность представителя Подрядчика, ответственного за соблюдение норм и правил в област</w:t>
            </w:r>
            <w:r>
              <w:rPr>
                <w:bCs/>
                <w:sz w:val="24"/>
                <w:szCs w:val="24"/>
                <w:highlight w:val="none"/>
              </w:rPr>
      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  <w:t xml:space="preserve">-</w:t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1.2.4.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Осуществлять мероприятия строительного контроля, возложе</w:t>
            </w:r>
            <w:r>
              <w:rPr>
                <w:bCs/>
                <w:sz w:val="24"/>
                <w:szCs w:val="24"/>
                <w:highlight w:val="none"/>
              </w:rPr>
      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  <w:t xml:space="preserve">-</w:t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1.2.5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Merge w:val="restart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  <w:highlight w:val="none"/>
              </w:rPr>
            </w:pPr>
            <w:r>
              <w:rPr>
                <w:bCs/>
                <w:sz w:val="23"/>
                <w:szCs w:val="23"/>
                <w:highlight w:val="none"/>
              </w:rPr>
              <w:t xml:space="preserve">Обеспечить наличие у Подрядчика свидетельств </w:t>
            </w:r>
            <w:r>
              <w:rPr>
                <w:bCs/>
                <w:sz w:val="23"/>
                <w:szCs w:val="23"/>
                <w:highlight w:val="none"/>
              </w:rPr>
              <w:t xml:space="preserve">НАКС</w:t>
            </w:r>
            <w:r>
              <w:rPr>
                <w:bCs/>
                <w:sz w:val="23"/>
                <w:szCs w:val="23"/>
                <w:highlight w:val="none"/>
              </w:rPr>
              <w:t xml:space="preserve"> о готовности организации к применению аттестованной технологии сварки, свидетельства </w:t>
            </w:r>
            <w:r>
              <w:rPr>
                <w:bCs/>
                <w:sz w:val="23"/>
                <w:szCs w:val="23"/>
                <w:highlight w:val="none"/>
              </w:rPr>
              <w:t xml:space="preserve">НАКС</w:t>
            </w:r>
            <w:r>
              <w:rPr>
                <w:bCs/>
                <w:sz w:val="23"/>
                <w:szCs w:val="23"/>
                <w:highlight w:val="none"/>
              </w:rPr>
              <w:t xml:space="preserve"> об аттестации сварочного оборудования в соответствии с требованиями </w:t>
            </w:r>
            <w:r>
              <w:rPr>
                <w:bCs/>
                <w:sz w:val="23"/>
                <w:szCs w:val="23"/>
                <w:highlight w:val="none"/>
              </w:rPr>
              <w:t xml:space="preserve">РД</w:t>
            </w:r>
            <w:r>
              <w:rPr>
                <w:bCs/>
                <w:sz w:val="23"/>
                <w:szCs w:val="23"/>
                <w:highlight w:val="none"/>
              </w:rPr>
              <w:t xml:space="preserve"> 03-</w:t>
            </w:r>
            <w:r>
              <w:rPr>
                <w:bCs/>
                <w:sz w:val="23"/>
                <w:szCs w:val="23"/>
                <w:highlight w:val="none"/>
              </w:rPr>
              <w:t xml:space="preserve">615-03.</w:t>
            </w:r>
            <w:r>
              <w:rPr>
                <w:bCs/>
                <w:sz w:val="23"/>
                <w:szCs w:val="23"/>
                <w:highlight w:val="none"/>
              </w:rPr>
            </w:r>
            <w:r>
              <w:rPr>
                <w:bCs/>
                <w:sz w:val="23"/>
                <w:szCs w:val="23"/>
                <w:highlight w:val="none"/>
              </w:rPr>
            </w:r>
          </w:p>
        </w:tc>
        <w:tc>
          <w:tcPr>
            <w:tcW w:w="2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применяемым при выполнении работ оборудованию, материалам, технологиям, программно-аппаратным средствам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  <w:t xml:space="preserve">1.3.1.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оборудованию и материалам </w:t>
            </w:r>
            <w:commentRangeStart w:id="0"/>
            <w:r>
              <w:rPr>
                <w:b/>
                <w:sz w:val="24"/>
                <w:szCs w:val="24"/>
                <w:highlight w:val="none"/>
              </w:rPr>
              <w:t xml:space="preserve">поставки</w:t>
            </w:r>
            <w:r>
              <w:rPr>
                <w:b/>
                <w:sz w:val="24"/>
                <w:szCs w:val="24"/>
                <w:highlight w:val="none"/>
              </w:rPr>
            </w:r>
            <w:commentRangeEnd w:id="0"/>
            <w:r>
              <w:commentReference w:id="0"/>
            </w:r>
            <w:r>
              <w:rPr>
                <w:b/>
                <w:sz w:val="24"/>
                <w:szCs w:val="24"/>
                <w:highlight w:val="none"/>
              </w:rPr>
              <w:t xml:space="preserve"> Подрядчика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1000"/>
              <w:rPr>
                <w:b w:val="0"/>
                <w:highlight w:val="none"/>
              </w:rPr>
              <w:outlineLvl w:val="2"/>
            </w:pPr>
            <w:r>
              <w:rPr>
                <w:b w:val="0"/>
                <w:highlight w:val="none"/>
              </w:rPr>
            </w:r>
            <w:r>
              <w:rPr>
                <w:b w:val="0"/>
                <w:highlight w:val="none"/>
              </w:rPr>
            </w:r>
            <w:r>
              <w:rPr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ind w:left="720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pStyle w:val="999"/>
              <w:numPr>
                <w:ilvl w:val="0"/>
                <w:numId w:val="10"/>
              </w:numPr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Материалы и оборудование, необходимые для выполнения работ, приобретаются подрядчиком самостоятельно, согласно</w:t>
            </w:r>
            <w:commentRangeStart w:id="1"/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ведомости объемов работ </w:t>
            </w:r>
            <w:r>
              <w:rPr>
                <w:sz w:val="23"/>
                <w:szCs w:val="23"/>
                <w:highlight w:val="none"/>
              </w:rPr>
              <w:t xml:space="preserve">(Приложение №1 к ТТ) и ведомости поставки Подрядчика (Приложение № 3 к ТТ)</w:t>
            </w:r>
            <w:r>
              <w:rPr>
                <w:highlight w:val="none"/>
              </w:rPr>
              <w:t xml:space="preserve">.</w:t>
            </w:r>
            <w:commentRangeEnd w:id="1"/>
            <w:r>
              <w:commentReference w:id="1"/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99"/>
              <w:numPr>
                <w:ilvl w:val="0"/>
                <w:numId w:val="10"/>
              </w:numPr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Материалы поставки Подрядчика должны быть новыми (выпуска 202</w:t>
            </w:r>
            <w:r>
              <w:rPr>
                <w:highlight w:val="none"/>
              </w:rPr>
              <w:t xml:space="preserve">3-202</w:t>
            </w:r>
            <w:r>
              <w:rPr>
                <w:highlight w:val="none"/>
              </w:rPr>
              <w:t xml:space="preserve">4 года) и ранее не использованными, без повреждений, сертифицированы в установленном порядке и иметь сертификаты соответствия, качества, безопасности, паспорта, сан</w:t>
            </w:r>
            <w:r>
              <w:rPr>
                <w:highlight w:val="none"/>
              </w:rPr>
              <w:t xml:space="preserve">итарно-эпидемиологические заключения и гигиенические заключения, разрешения на применение, прочие обязательные документы, имеющие отношение к Материалам, при их наличии. Подрядчик обязан представить Заказчику все копии сертификатов, заключений, разрешений.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99"/>
              <w:numPr>
                <w:ilvl w:val="0"/>
                <w:numId w:val="10"/>
              </w:numPr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При проведении работ должны использоваться сертифицированные материалы на основании федеральных законов РФ №184-ФЗ от 27.12.2002 г. «О техническом регулировании» и №123-ФЗ от 22.07.2008 г. «Технический регламент о требованиях пожарной безопасности».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99"/>
              <w:numPr>
                <w:ilvl w:val="0"/>
                <w:numId w:val="10"/>
              </w:numPr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Материалы поставки Подрядчика должны быть поставлены в упаковке производителя, не нарушенной, без следов воздействия влаги. Упаковка и/или тара должна обеспечивать их полную сохранность от всякого рода перегрузо</w:t>
            </w:r>
            <w:r>
              <w:rPr>
                <w:highlight w:val="none"/>
              </w:rPr>
              <w:t xml:space="preserve">к, повреждений при перевозке любыми видами транспорта, длительного хранения, а также предохранять поставляемые материалы от внешних воздействий, обеспечивать их сохранность при проведении погрузо-разгрузочных работ вручную или механизированными средствами.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97"/>
              <w:numPr>
                <w:ilvl w:val="0"/>
                <w:numId w:val="10"/>
              </w:num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Стоимость тары и/или упаковки включена в стоимость Материалов.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7"/>
              <w:numPr>
                <w:ilvl w:val="0"/>
                <w:numId w:val="10"/>
              </w:num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Гарантия на материалы, поставляемые Подрядчиком, составляет срок не менее гарантийного срока, установленного заводом изготовителем.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  <w:t xml:space="preserve">1.3.2.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spacing w:before="60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контролю качества работ и материалов/оборудования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-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</w:pPr>
            <w:r/>
            <w:r/>
          </w:p>
        </w:tc>
        <w:tc>
          <w:tcPr>
            <w:tcW w:w="10029" w:type="dxa"/>
            <w:textDirection w:val="lrTb"/>
            <w:noWrap w:val="false"/>
          </w:tcPr>
          <w:p>
            <w:pPr>
              <w:pStyle w:val="997"/>
              <w:ind w:firstLine="558"/>
              <w:jc w:val="both"/>
              <w:rPr>
                <w:b/>
                <w:i/>
                <w:sz w:val="24"/>
                <w:szCs w:val="24"/>
                <w:highlight w:val="none"/>
              </w:rPr>
            </w:pPr>
            <w:r>
              <w:rPr>
                <w:b/>
                <w:i/>
                <w:sz w:val="24"/>
                <w:szCs w:val="24"/>
                <w:highlight w:val="none"/>
              </w:rPr>
              <w:t xml:space="preserve">1.3.2.1. Требования к контролю качества работ </w:t>
            </w:r>
            <w:r>
              <w:rPr>
                <w:b/>
                <w:i/>
                <w:sz w:val="24"/>
                <w:szCs w:val="24"/>
                <w:highlight w:val="none"/>
              </w:rPr>
            </w:r>
            <w:r>
              <w:rPr>
                <w:b/>
                <w:i/>
                <w:sz w:val="24"/>
                <w:szCs w:val="24"/>
                <w:highlight w:val="none"/>
              </w:rPr>
            </w:r>
          </w:p>
          <w:p>
            <w:pPr>
              <w:pStyle w:val="997"/>
              <w:ind w:firstLine="558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      </w:r>
            <w:r>
              <w:rPr>
                <w:sz w:val="24"/>
                <w:szCs w:val="24"/>
                <w:highlight w:val="none"/>
              </w:rPr>
      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7"/>
              <w:ind w:firstLine="558"/>
              <w:jc w:val="both"/>
              <w:rPr>
                <w:b/>
                <w:i/>
                <w:sz w:val="24"/>
                <w:szCs w:val="24"/>
                <w:highlight w:val="none"/>
              </w:rPr>
            </w:pPr>
            <w:r>
              <w:rPr>
                <w:b/>
                <w:i/>
                <w:sz w:val="24"/>
                <w:szCs w:val="24"/>
                <w:highlight w:val="none"/>
              </w:rPr>
            </w:r>
            <w:r>
              <w:rPr>
                <w:b/>
                <w:i/>
                <w:sz w:val="24"/>
                <w:szCs w:val="24"/>
                <w:highlight w:val="none"/>
              </w:rPr>
            </w:r>
            <w:r>
              <w:rPr>
                <w:b/>
                <w:i/>
                <w:sz w:val="24"/>
                <w:szCs w:val="24"/>
                <w:highlight w:val="none"/>
              </w:rPr>
            </w:r>
          </w:p>
          <w:p>
            <w:pPr>
              <w:pStyle w:val="997"/>
              <w:ind w:firstLine="558"/>
              <w:jc w:val="both"/>
              <w:rPr>
                <w:b/>
                <w:i/>
                <w:sz w:val="24"/>
                <w:szCs w:val="24"/>
                <w:highlight w:val="none"/>
              </w:rPr>
            </w:pPr>
            <w:r>
              <w:rPr>
                <w:b/>
                <w:i/>
                <w:sz w:val="24"/>
                <w:szCs w:val="24"/>
                <w:highlight w:val="none"/>
              </w:rPr>
              <w:t xml:space="preserve">1.3.2.2. Требования к контролю качества материалов/оборудования</w:t>
            </w:r>
            <w:r>
              <w:rPr>
                <w:b/>
                <w:i/>
                <w:sz w:val="24"/>
                <w:szCs w:val="24"/>
                <w:highlight w:val="none"/>
              </w:rPr>
            </w:r>
            <w:r>
              <w:rPr>
                <w:b/>
                <w:i/>
                <w:sz w:val="24"/>
                <w:szCs w:val="24"/>
                <w:highlight w:val="none"/>
              </w:rPr>
            </w:r>
          </w:p>
          <w:p>
            <w:pPr>
              <w:pStyle w:val="997"/>
              <w:ind w:firstLine="558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Применяемые при монтаже оборудование и материалы должны соо</w:t>
            </w:r>
            <w:r>
              <w:rPr>
                <w:sz w:val="24"/>
                <w:szCs w:val="24"/>
                <w:highlight w:val="none"/>
              </w:rPr>
              <w:t xml:space="preserve">тветствовать государственным стандартам, иметь соответствующие сертификаты (в том числе на продукцию, подлежащую обязательной сертификации), технические паспорта и другие документы, удостоверяющие их качество и применимость для данных условий эксплуатации.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7"/>
              <w:ind w:firstLine="558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Подрядчик обязан: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7"/>
              <w:numPr>
                <w:ilvl w:val="0"/>
                <w:numId w:val="7"/>
              </w:num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предоставляет Заказчику документы, удостоверяющие качество используемых Подрядчиком Материально-технических ресурсов и оборудования;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7"/>
              <w:numPr>
                <w:ilvl w:val="0"/>
                <w:numId w:val="7"/>
              </w:num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 и оборудования, необходимых для выполнения Работ.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99"/>
              <w:numPr>
                <w:ilvl w:val="0"/>
                <w:numId w:val="7"/>
              </w:numPr>
              <w:jc w:val="both"/>
              <w:shd w:val="clear" w:color="auto" w:fill="ffffff"/>
              <w:tabs>
                <w:tab w:val="left" w:pos="1418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Организовать контроль качества поступающих Материально-техн</w:t>
            </w:r>
            <w:r>
              <w:rPr>
                <w:highlight w:val="none"/>
              </w:rPr>
              <w:t xml:space="preserve">ических ресурсов и оборудования,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Материально-технических ресурсов и оборудования. Копии </w:t>
            </w:r>
            <w:r>
              <w:rPr>
                <w:highlight w:val="none"/>
              </w:rPr>
              <w:t xml:space="preserve">таких сертификатов, технических паспортов и иных документов должны быть предоставлены Заказчику до начала производства Работ.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99"/>
              <w:numPr>
                <w:ilvl w:val="0"/>
                <w:numId w:val="7"/>
              </w:numPr>
              <w:jc w:val="both"/>
              <w:shd w:val="clear" w:color="auto" w:fill="ffffff"/>
              <w:tabs>
                <w:tab w:val="left" w:pos="1418" w:leader="none"/>
              </w:tabs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Подрядчик обязуется письменно согласовать с Заказчиком планируемые к использованию Материально-технические ресурсы и оборудование до начала производства Работ в случае, если они не соответствуют условиям Договора.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21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commentRangeStart w:id="2"/>
            <w:r>
              <w:rPr>
                <w:b/>
                <w:sz w:val="24"/>
                <w:szCs w:val="24"/>
                <w:highlight w:val="none"/>
              </w:rPr>
              <w:t xml:space="preserve">Требования к персоналу подрядчика</w:t>
            </w:r>
            <w:r>
              <w:rPr>
                <w:sz w:val="24"/>
                <w:szCs w:val="24"/>
                <w:highlight w:val="none"/>
              </w:rPr>
            </w:r>
            <w:commentRangeEnd w:id="2"/>
            <w:r>
              <w:commentReference w:id="2"/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1.4.1</w:t>
            </w: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ind w:right="97"/>
              <w:jc w:val="both"/>
              <w:widowControl w:val="off"/>
              <w:rPr>
                <w:sz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Подрядчик должен производить работы квалифицированными специалистами рабочих специальностей и ИТР: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highlight w:val="none"/>
              </w:rPr>
              <w:t xml:space="preserve">аттестованных согласно «Правил по охране труда при эксплуатации электроустановок» Минтруда РФ от 15 декабря 2020 года N 903н, «</w:t>
            </w:r>
            <w:hyperlink r:id="rId13" w:tooltip="https://docs.cntd.ru/document/573068704#6540IN" w:anchor="6540IN" w:history="1">
              <w:r>
                <w:rPr>
                  <w:sz w:val="24"/>
                  <w:highlight w:val="none"/>
                </w:rPr>
                <w:t xml:space="preserve">Правил по охране труда при работе с инструментом и приспособлениями</w:t>
              </w:r>
            </w:hyperlink>
            <w:r>
              <w:rPr>
                <w:sz w:val="24"/>
                <w:highlight w:val="none"/>
              </w:rPr>
              <w:t xml:space="preserve">» от 27 ноября 2020 года N 835н, « </w:t>
            </w:r>
            <w:hyperlink r:id="rId14" w:tooltip="https://docs.cntd.ru/document/573114692#6540IN" w:anchor="6540IN" w:history="1">
              <w:r>
                <w:rPr>
                  <w:sz w:val="24"/>
                  <w:highlight w:val="none"/>
                </w:rPr>
                <w:t xml:space="preserve">Правил по охране труда при работе на высоте</w:t>
              </w:r>
            </w:hyperlink>
            <w:r>
              <w:rPr>
                <w:sz w:val="24"/>
                <w:highlight w:val="none"/>
              </w:rPr>
              <w:t xml:space="preserve">» от 16 ноября 2020 года N 782н, «Правил техники безопасности при эксплуатации тепломеханического оборудования электростанций и тепловых сетей» РД 34.03.201-97, Правил противопожарного режима в Российской Федерации, утверждённых от 16.09.2020 N 1479.1.2). </w:t>
            </w: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</w:p>
          <w:p>
            <w:pPr>
              <w:ind w:firstLine="567"/>
              <w:jc w:val="both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Квалификация персонала должна соответствовать видам выполняемых работ и располагать: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  <w:p>
            <w:pPr>
              <w:pStyle w:val="999"/>
              <w:numPr>
                <w:ilvl w:val="0"/>
                <w:numId w:val="8"/>
              </w:numPr>
              <w:ind w:left="848" w:hanging="433"/>
              <w:jc w:val="both"/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</w:t>
            </w:r>
            <w:r>
              <w:rPr>
                <w:bCs/>
                <w:highlight w:val="none"/>
              </w:rPr>
              <w:t xml:space="preserve"> стоящими перед каждой бригадой;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pStyle w:val="999"/>
              <w:numPr>
                <w:ilvl w:val="0"/>
                <w:numId w:val="8"/>
              </w:numPr>
              <w:ind w:left="848" w:hanging="433"/>
              <w:jc w:val="both"/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  <w:t xml:space="preserve">достаточным количеством аттестованного персонала, организованного по принципу комплексных специализированных бригад.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ind w:left="415" w:right="97"/>
              <w:jc w:val="both"/>
              <w:widowControl w:val="off"/>
              <w:rPr>
                <w:bCs/>
                <w:sz w:val="24"/>
                <w:highlight w:val="none"/>
              </w:rPr>
            </w:pPr>
            <w:r>
              <w:rPr>
                <w:sz w:val="24"/>
                <w:highlight w:val="none"/>
                <w:lang w:val="sr-Cyrl-CS"/>
              </w:rPr>
              <w:t xml:space="preserve">Подрядчик должен:</w:t>
            </w:r>
            <w:r>
              <w:rPr>
                <w:bCs/>
                <w:sz w:val="24"/>
                <w:highlight w:val="none"/>
              </w:rPr>
            </w:r>
            <w:r>
              <w:rPr>
                <w:bCs/>
                <w:sz w:val="24"/>
                <w:highlight w:val="none"/>
              </w:rPr>
            </w:r>
          </w:p>
          <w:p>
            <w:pPr>
              <w:pStyle w:val="999"/>
              <w:numPr>
                <w:ilvl w:val="0"/>
                <w:numId w:val="8"/>
              </w:numPr>
              <w:ind w:left="848" w:hanging="324"/>
              <w:jc w:val="both"/>
              <w:rPr>
                <w:bCs/>
                <w:highlight w:val="none"/>
              </w:rPr>
            </w:pPr>
            <w:r>
              <w:rPr>
                <w:bCs/>
                <w:highlight w:val="none"/>
              </w:rPr>
            </w:r>
            <w:commentRangeStart w:id="3"/>
            <w:r>
              <w:rPr>
                <w:bCs/>
                <w:highlight w:val="none"/>
              </w:rPr>
              <w:t xml:space="preserve">иметь материально-технические ресурсы согласно ведомости поставки Подрядчика </w:t>
            </w:r>
            <w:r>
              <w:rPr>
                <w:sz w:val="23"/>
                <w:szCs w:val="23"/>
                <w:highlight w:val="none"/>
              </w:rPr>
              <w:t xml:space="preserve">(Приложение № 3 к ТТ</w:t>
            </w:r>
            <w:r>
              <w:rPr>
                <w:sz w:val="23"/>
                <w:szCs w:val="23"/>
                <w:highlight w:val="none"/>
              </w:rPr>
              <w:t xml:space="preserve">)</w:t>
            </w:r>
            <w:r>
              <w:rPr>
                <w:bCs/>
                <w:highlight w:val="none"/>
              </w:rPr>
              <w:t xml:space="preserve">.</w:t>
            </w:r>
            <w:commentRangeEnd w:id="3"/>
            <w:r>
              <w:commentReference w:id="3"/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ind w:firstLine="558"/>
              <w:jc w:val="both"/>
              <w:tabs>
                <w:tab w:val="left" w:pos="526" w:leader="none"/>
                <w:tab w:val="left" w:pos="967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Во время проведения работ команда ИТР Подрядчика должна поддерживать на должном уровне систему управ</w:t>
            </w:r>
            <w:r>
              <w:rPr>
                <w:bCs/>
                <w:sz w:val="24"/>
                <w:szCs w:val="24"/>
                <w:highlight w:val="none"/>
              </w:rPr>
              <w:t xml:space="preserve">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 и т.д.).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567"/>
              <w:jc w:val="both"/>
              <w:rPr>
                <w:bCs/>
                <w:sz w:val="23"/>
                <w:szCs w:val="23"/>
                <w:highlight w:val="none"/>
              </w:rPr>
            </w:pPr>
            <w:r>
              <w:rPr>
                <w:bCs/>
                <w:sz w:val="23"/>
                <w:szCs w:val="23"/>
                <w:highlight w:val="none"/>
              </w:rPr>
              <w:t xml:space="preserve">Персонал </w:t>
            </w:r>
            <w:r>
              <w:rPr>
                <w:sz w:val="24"/>
                <w:szCs w:val="24"/>
                <w:highlight w:val="none"/>
              </w:rPr>
              <w:t xml:space="preserve">Подрядчика </w:t>
            </w:r>
            <w:r>
              <w:rPr>
                <w:bCs/>
                <w:sz w:val="23"/>
                <w:szCs w:val="23"/>
                <w:highlight w:val="none"/>
              </w:rPr>
              <w:t xml:space="preserve">должен иметь в </w:t>
            </w:r>
            <w:r>
              <w:rPr>
                <w:bCs/>
                <w:sz w:val="23"/>
                <w:szCs w:val="23"/>
                <w:highlight w:val="none"/>
              </w:rPr>
              <w:t xml:space="preserve">штате</w:t>
            </w:r>
            <w:r>
              <w:rPr>
                <w:bCs/>
                <w:sz w:val="23"/>
                <w:szCs w:val="23"/>
                <w:highlight w:val="none"/>
              </w:rPr>
              <w:t xml:space="preserve"> аттестованных </w:t>
            </w:r>
            <w:r>
              <w:rPr>
                <w:bCs/>
                <w:sz w:val="23"/>
                <w:szCs w:val="23"/>
                <w:highlight w:val="none"/>
              </w:rPr>
              <w:t xml:space="preserve">НАКС</w:t>
            </w:r>
            <w:r>
              <w:rPr>
                <w:bCs/>
                <w:sz w:val="23"/>
                <w:szCs w:val="23"/>
                <w:highlight w:val="none"/>
              </w:rPr>
              <w:t xml:space="preserve"> специалистов сварочного производства (</w:t>
            </w:r>
            <w:r>
              <w:rPr>
                <w:bCs/>
                <w:sz w:val="23"/>
                <w:szCs w:val="23"/>
                <w:highlight w:val="none"/>
                <w:lang w:val="en-US"/>
              </w:rPr>
              <w:t xml:space="preserve">I</w:t>
            </w:r>
            <w:r>
              <w:rPr>
                <w:bCs/>
                <w:sz w:val="23"/>
                <w:szCs w:val="23"/>
                <w:highlight w:val="none"/>
              </w:rPr>
              <w:t xml:space="preserve"> – </w:t>
            </w:r>
            <w:r>
              <w:rPr>
                <w:bCs/>
                <w:sz w:val="23"/>
                <w:szCs w:val="23"/>
                <w:highlight w:val="none"/>
                <w:lang w:val="en-US"/>
              </w:rPr>
              <w:t xml:space="preserve">III</w:t>
            </w:r>
            <w:r>
              <w:rPr>
                <w:bCs/>
                <w:sz w:val="23"/>
                <w:szCs w:val="23"/>
                <w:highlight w:val="none"/>
              </w:rPr>
              <w:t xml:space="preserve"> уровня) в соответствии с требованиями </w:t>
            </w:r>
            <w:r>
              <w:rPr>
                <w:bCs/>
                <w:sz w:val="23"/>
                <w:szCs w:val="23"/>
                <w:highlight w:val="none"/>
              </w:rPr>
              <w:t xml:space="preserve">РД</w:t>
            </w:r>
            <w:r>
              <w:rPr>
                <w:bCs/>
                <w:sz w:val="23"/>
                <w:szCs w:val="23"/>
                <w:highlight w:val="none"/>
              </w:rPr>
              <w:t xml:space="preserve"> 03-615-03.</w:t>
            </w:r>
            <w:r>
              <w:rPr>
                <w:bCs/>
                <w:sz w:val="23"/>
                <w:szCs w:val="23"/>
                <w:highlight w:val="none"/>
              </w:rPr>
            </w:r>
            <w:r>
              <w:rPr>
                <w:bCs/>
                <w:sz w:val="23"/>
                <w:szCs w:val="23"/>
                <w:highlight w:val="none"/>
              </w:rPr>
            </w:r>
          </w:p>
          <w:p>
            <w:pPr>
              <w:ind w:firstLine="567"/>
              <w:jc w:val="both"/>
              <w:rPr>
                <w:bCs/>
                <w:sz w:val="23"/>
                <w:szCs w:val="23"/>
                <w:highlight w:val="none"/>
              </w:rPr>
            </w:pPr>
            <w:r>
              <w:rPr>
                <w:bCs/>
                <w:sz w:val="23"/>
                <w:szCs w:val="23"/>
                <w:highlight w:val="none"/>
              </w:rPr>
              <w:t xml:space="preserve">Допуск </w:t>
            </w:r>
            <w:r>
              <w:rPr>
                <w:sz w:val="23"/>
                <w:szCs w:val="23"/>
                <w:highlight w:val="none"/>
              </w:rPr>
              <w:t xml:space="preserve">персонала </w:t>
            </w:r>
            <w:r>
              <w:rPr>
                <w:bCs/>
                <w:sz w:val="23"/>
                <w:szCs w:val="23"/>
                <w:highlight w:val="none"/>
              </w:rPr>
              <w:t xml:space="preserve">Подрядчика осуществляется согласно «Положения о допуске персонала подрядных организаций к </w:t>
            </w:r>
            <w:r>
              <w:rPr>
                <w:bCs/>
                <w:sz w:val="23"/>
                <w:szCs w:val="23"/>
                <w:highlight w:val="none"/>
              </w:rPr>
              <w:t xml:space="preserve">выполнению работ на </w:t>
            </w:r>
            <w:r>
              <w:rPr>
                <w:bCs/>
                <w:sz w:val="23"/>
                <w:szCs w:val="23"/>
                <w:highlight w:val="none"/>
              </w:rPr>
              <w:t xml:space="preserve">объектах АО «ДГК»» (Приложение №</w:t>
            </w:r>
            <w:r>
              <w:rPr>
                <w:bCs/>
                <w:sz w:val="23"/>
                <w:szCs w:val="23"/>
                <w:highlight w:val="none"/>
              </w:rPr>
              <w:t xml:space="preserve">5 к ТТ</w:t>
            </w:r>
            <w:r>
              <w:rPr>
                <w:bCs/>
                <w:sz w:val="23"/>
                <w:szCs w:val="23"/>
                <w:highlight w:val="none"/>
              </w:rPr>
              <w:t xml:space="preserve">)</w:t>
            </w:r>
            <w:r>
              <w:rPr>
                <w:bCs/>
                <w:sz w:val="23"/>
                <w:szCs w:val="23"/>
                <w:highlight w:val="none"/>
              </w:rPr>
            </w:r>
            <w:r>
              <w:rPr>
                <w:bCs/>
                <w:sz w:val="23"/>
                <w:szCs w:val="23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ind w:left="-127"/>
              <w:jc w:val="center"/>
              <w:spacing w:before="60" w:after="60"/>
              <w:rPr>
                <w:highlight w:val="none"/>
              </w:rPr>
            </w:pPr>
            <w:r>
              <w:rPr>
                <w:sz w:val="24"/>
                <w:highlight w:val="none"/>
              </w:rPr>
              <w:t xml:space="preserve">1.5.1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pStyle w:val="999"/>
              <w:ind w:left="0"/>
              <w:rPr>
                <w:highlight w:val="none"/>
              </w:rPr>
            </w:pPr>
            <w:r>
              <w:rPr>
                <w:bCs/>
                <w:highlight w:val="none"/>
              </w:rPr>
              <w:t xml:space="preserve">Провести инструктаж персонала, задействованного при производстве Работ, обеспечить соблюдение (в том числе указа</w:t>
            </w:r>
            <w:r>
              <w:rPr>
                <w:bCs/>
                <w:highlight w:val="none"/>
              </w:rPr>
              <w:t xml:space="preserve">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2"/>
              </w:numPr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7"/>
        </w:trPr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  <w:t xml:space="preserve">2.1.1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eastAsia="en-US"/>
              </w:rPr>
              <w:t xml:space="preserve">Работы должны быть выполнены в соответствии в рабочей документацией и </w:t>
            </w:r>
            <w:commentRangeStart w:id="4"/>
            <w:r>
              <w:rPr>
                <w:sz w:val="24"/>
                <w:szCs w:val="24"/>
                <w:highlight w:val="none"/>
                <w:lang w:eastAsia="en-US"/>
              </w:rPr>
              <w:t xml:space="preserve">В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едомостью объёмов работ (Приложение №1 к ТТ</w:t>
            </w:r>
            <w:commentRangeEnd w:id="4"/>
            <w:r>
              <w:commentReference w:id="4"/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)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, приняты Заказчиком в Гарантийную эксплуатацию по Акту КС-11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-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1000"/>
              <w:jc w:val="left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техническим и функциональным характеристикам объекта, которые должны быть достигнуты в результате выполнения работ, включая гарантируемые показатели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  <w:t xml:space="preserve">2.2.1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eastAsia="en-US"/>
              </w:rPr>
              <w:t xml:space="preserve">В соответствии с 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рабочей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 документацией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bCs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bCs/>
                <w:highlight w:val="none"/>
              </w:rPr>
              <w:t xml:space="preserve">-</w:t>
            </w:r>
            <w:r>
              <w:rPr>
                <w:rFonts w:eastAsia="Times New Roman"/>
                <w:b w:val="0"/>
                <w:bCs/>
                <w:highlight w:val="none"/>
              </w:rPr>
            </w:r>
            <w:r>
              <w:rPr>
                <w:rFonts w:eastAsia="Times New Roman"/>
                <w:b w:val="0"/>
                <w:bCs/>
                <w:highlight w:val="none"/>
              </w:rPr>
            </w:r>
          </w:p>
          <w:p>
            <w:pPr>
              <w:pStyle w:val="1000"/>
              <w:keepNext w:val="0"/>
              <w:rPr>
                <w:rFonts w:eastAsia="Times New Roman"/>
                <w:b w:val="0"/>
                <w:bCs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bCs/>
                <w:highlight w:val="none"/>
              </w:rPr>
            </w:r>
            <w:r>
              <w:rPr>
                <w:rFonts w:eastAsia="Times New Roman"/>
                <w:b w:val="0"/>
                <w:bCs/>
                <w:highlight w:val="none"/>
              </w:rPr>
            </w:r>
            <w:r>
              <w:rPr>
                <w:rFonts w:eastAsia="Times New Roman"/>
                <w:b w:val="0"/>
                <w:bCs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pStyle w:val="999"/>
              <w:ind w:left="25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  <w:t xml:space="preserve">2.2.2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Гарантийный срок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bCs/>
                <w:highlight w:val="none"/>
              </w:rPr>
              <w:outlineLvl w:val="2"/>
            </w:pPr>
            <w:r>
              <w:rPr>
                <w:highlight w:val="none"/>
              </w:rPr>
              <w:t xml:space="preserve">-//-</w:t>
            </w:r>
            <w:r>
              <w:rPr>
                <w:rFonts w:eastAsia="Times New Roman"/>
                <w:b w:val="0"/>
                <w:bCs/>
                <w:highlight w:val="none"/>
              </w:rPr>
            </w:r>
            <w:r>
              <w:rPr>
                <w:rFonts w:eastAsia="Times New Roman"/>
                <w:b w:val="0"/>
                <w:bCs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w:bookmarkStart w:id="29" w:name="_Ref361337777"/>
            <w:r>
              <w:rPr>
                <w:sz w:val="24"/>
                <w:szCs w:val="24"/>
                <w:highlight w:val="none"/>
                <w:lang w:eastAsia="en-US"/>
              </w:rPr>
              <w:t xml:space="preserve">Гарантийный срок составляет 24 (двадцать четыре) месяца и начинает течь с даты подписания Сторонами Акта КС-11 </w:t>
            </w:r>
            <w:bookmarkEnd w:id="29"/>
            <w:r>
              <w:rPr>
                <w:sz w:val="24"/>
                <w:szCs w:val="24"/>
                <w:highlight w:val="none"/>
                <w:lang w:eastAsia="en-US"/>
              </w:rPr>
              <w:t xml:space="preserve">либо с даты прекращения (расторжения) Договора. Гарантийный срок может быть продлен в соответствии с условиями Договора.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eastAsia="en-US"/>
              </w:rPr>
              <w:t xml:space="preserve">Подробно требования к сроку и объему предоставления гарантий указаны в договоре подряда </w:t>
            </w:r>
            <w:r>
              <w:rPr>
                <w:i/>
                <w:sz w:val="24"/>
                <w:szCs w:val="24"/>
                <w:highlight w:val="none"/>
                <w:lang w:eastAsia="en-US"/>
              </w:rPr>
              <w:t xml:space="preserve">(раздел № </w:t>
            </w:r>
            <w:r>
              <w:rPr>
                <w:i/>
                <w:sz w:val="24"/>
                <w:szCs w:val="24"/>
                <w:highlight w:val="none"/>
                <w:lang w:eastAsia="en-US"/>
              </w:rPr>
              <w:t xml:space="preserve">8</w:t>
            </w:r>
            <w:r>
              <w:rPr>
                <w:i/>
                <w:sz w:val="24"/>
                <w:szCs w:val="24"/>
                <w:highlight w:val="none"/>
                <w:lang w:eastAsia="en-US"/>
              </w:rPr>
              <w:t xml:space="preserve">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Требования к порядку приемки результатов работ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2.3.1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pStyle w:val="999"/>
              <w:ind w:left="0"/>
              <w:shd w:val="clear" w:color="auto" w:fill="ffffff"/>
              <w:tabs>
                <w:tab w:val="left" w:pos="284" w:leader="none"/>
              </w:tabs>
              <w:rPr>
                <w:b/>
                <w:highlight w:val="none"/>
              </w:rPr>
            </w:pPr>
            <w:r>
              <w:rPr>
                <w:bCs/>
                <w:highlight w:val="none"/>
              </w:rPr>
              <w:t xml:space="preserve">Подробно к требованиям к порядку сдачи-приемки работ указаны в договоре подряда </w:t>
            </w:r>
            <w:r>
              <w:rPr>
                <w:i/>
                <w:highlight w:val="none"/>
                <w:lang w:eastAsia="en-US"/>
              </w:rPr>
              <w:t xml:space="preserve">(раздел № 4).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1"/>
                <w:numId w:val="2"/>
              </w:numPr>
              <w:ind w:left="-117" w:firstLine="142"/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оформлению документации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2.4.1.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pStyle w:val="999"/>
              <w:ind w:left="0"/>
              <w:shd w:val="clear" w:color="auto" w:fill="ffffff"/>
              <w:tabs>
                <w:tab w:val="left" w:pos="284" w:leader="none"/>
              </w:tabs>
              <w:rPr>
                <w:b/>
                <w:highlight w:val="none"/>
              </w:rPr>
            </w:pPr>
            <w:r>
              <w:rPr>
                <w:bCs/>
                <w:highlight w:val="none"/>
              </w:rPr>
              <w:t xml:space="preserve">Промежуточные (ежемесячные) объемы выполненных работ оформляются актом освидетельствования выполненных работ с приложением приемо-сдаточной и Исполнительной документации. По завершению выполнения работ по договору подряда оформляется а</w:t>
            </w:r>
            <w:r>
              <w:rPr>
                <w:highlight w:val="none"/>
              </w:rPr>
              <w:t xml:space="preserve">кт КС-2 </w:t>
            </w:r>
            <w:r>
              <w:rPr>
                <w:bCs/>
                <w:highlight w:val="none"/>
              </w:rPr>
              <w:t xml:space="preserve">и с</w:t>
            </w:r>
            <w:r>
              <w:rPr>
                <w:highlight w:val="none"/>
              </w:rPr>
              <w:t xml:space="preserve">правка КС-3 </w:t>
            </w:r>
            <w:r>
              <w:rPr>
                <w:bCs/>
                <w:highlight w:val="none"/>
              </w:rPr>
              <w:t xml:space="preserve">с приложением приемо-сдаточной и Исполнительной документации. Подробные требования указаны в договоре подряда </w:t>
            </w:r>
            <w:r>
              <w:rPr>
                <w:i/>
                <w:highlight w:val="none"/>
                <w:lang w:eastAsia="en-US"/>
              </w:rPr>
              <w:t xml:space="preserve">(раздел № 4).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2"/>
              </w:numPr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3.3.1</w:t>
            </w: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</w:p>
        </w:tc>
        <w:tc>
          <w:tcPr>
            <w:tcW w:w="10029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О противопожарном режиме в РФ 16.09.2020 N 1479 (ред. от 31.12.2020);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Градостроительный кодекс РФ.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ФНиП</w:t>
            </w:r>
            <w:r>
              <w:rPr>
                <w:sz w:val="24"/>
                <w:szCs w:val="24"/>
                <w:highlight w:val="none"/>
              </w:rPr>
              <w:t xml:space="preserve"> «Правил безопасности химически опасных производственных объектов».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№ 116-ФЗ от 21.07.1997 «О промышленной безопасности опасных производственных объектов».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23.11.2009 № 261-Ф3 «Об энергосбережении и повышении энергетической эффективности и о внесении изменений в отдельные законодательные акты РФ».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27.12.2002 №184-ФЗ «О техническом регулировании».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30.12.2009 № 384-ФЗ «Технический регламент о безопасности зданий и сооружений.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22.07.2008 № 123-ФЗ «Технический регламент о требованиях пожарной безопасности».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Технический регламент Таможенного союза ТР ТС 010/2011 «О безопасности машин и оборудования, утверждённый комиссией Таможенного союза 18 октября 2011 г. №823;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ПУЭ «Правила устройства электроустановок», 6 и 7 издания (с изменениями).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СП 256.1325800.2016 «Электроустановки жилых и общественных зданий. Правила проектирования и монтажа».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НТП ЭПП-94 Проектирование электроснабжения промышленных предприятий. Нормы технологического проектирования.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РТМ 36.18.32.4-92 «Указания по расчету электрических нагрузок».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ГОСТ 31565 – 2012 «Кабельные изделия. Требования пожарной безопасности». Актуализированная редакция СНиП 31-06- 2009 (п. 7.19).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№ 261 «Федеральный закон об энергосбережении» от 23.11.2009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Федеральный закон №116 ФЗ «О промышленной безопасности опасных производственных объектов от 21.07.1997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СП 48.13330.2019 «Организация строительства».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СНиП 3.05.07-85 «Системы автоматизации».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СНиП 3.05.06-85 «Электротехнические устройства».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СНиП II-58-75 «Электростанции тепловые».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ГОСТ 24.104-85 «Автоматизированные системы управления. Общие требования».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ГОСТ 34.603-92 «Виды испытаний автоматизированных систем».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ГОСТ 12.2.003-91 «Оборудование производственное. Общие требования безопасности».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 34.03.201-97 «Правила техники безопасности при эксплуатации тепломеханического оборудования электростанций и тепловых сетей».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«Правила по охране труда при эксплуатации электроустановок» Приказ Минтруда России от 15.12.2020 N 903н.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«Правила охраны труда при работе с инструментом и приспособлениями».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 34.03.301-00 «Правила пожарной безопасности для энергетических предприятий».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 153-34.20.501-2003 «Правила технической эксплуатации электрических станций и сетей».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 34.04.181-2003 «Правила организации технического обслуживания и ремонта оборудования, зданий и сооружений электростанций и сетей». 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 3.03.384-96 «Инструкция по организации и производству работ повышенной опасности».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СанПиН 2.2.3.1384-03 «Гигиенические требования к организации строительного производства и строительных работ».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Заводские инструкции и ТУ на оборудование.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«Генераторы водорода на основе процесса электролиза воды» ГОСТ Р ИСО 22734-1-2013.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ГОСТ 16037-80*. Межгосударственный стандарт. Соединения сварные стальных трубопроводов. Основные типы, конструктивные элементы и размеры (</w:t>
            </w:r>
            <w:r>
              <w:rPr>
                <w:sz w:val="23"/>
                <w:szCs w:val="23"/>
                <w:highlight w:val="none"/>
              </w:rPr>
              <w:t xml:space="preserve">введен</w:t>
            </w:r>
            <w:r>
              <w:rPr>
                <w:sz w:val="23"/>
                <w:szCs w:val="23"/>
                <w:highlight w:val="none"/>
              </w:rPr>
              <w:t xml:space="preserve"> в действие Постановлением Госстандарта СССР от 24.04.1980 г. №1876) (ред. от 01.12.1990 г.)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СНиП 12-03-2001 «Безопасность труда в </w:t>
            </w:r>
            <w:r>
              <w:rPr>
                <w:sz w:val="23"/>
                <w:szCs w:val="23"/>
                <w:highlight w:val="none"/>
              </w:rPr>
              <w:t xml:space="preserve">строительстве</w:t>
            </w:r>
            <w:r>
              <w:rPr>
                <w:sz w:val="23"/>
                <w:szCs w:val="23"/>
                <w:highlight w:val="none"/>
              </w:rPr>
              <w:t xml:space="preserve">. Часть 1. Общие требования». Приняты и введены в действие Постановлением Госстроя РФ от 23.07.2001 г. №80</w:t>
            </w:r>
            <w:r>
              <w:rPr>
                <w:sz w:val="23"/>
                <w:szCs w:val="23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СНиП 12-04-2002 «Безопасность труда в </w:t>
            </w:r>
            <w:r>
              <w:rPr>
                <w:sz w:val="23"/>
                <w:szCs w:val="23"/>
                <w:highlight w:val="none"/>
              </w:rPr>
              <w:t xml:space="preserve">строительстве</w:t>
            </w:r>
            <w:r>
              <w:rPr>
                <w:sz w:val="23"/>
                <w:szCs w:val="23"/>
                <w:highlight w:val="none"/>
              </w:rPr>
              <w:t xml:space="preserve">. Часть 2. Строительное производство». </w:t>
            </w:r>
            <w:r>
              <w:rPr>
                <w:sz w:val="23"/>
                <w:szCs w:val="23"/>
                <w:highlight w:val="none"/>
              </w:rPr>
              <w:t xml:space="preserve">Приняты и введены</w:t>
            </w:r>
            <w:r>
              <w:rPr>
                <w:sz w:val="23"/>
                <w:szCs w:val="23"/>
                <w:highlight w:val="none"/>
              </w:rPr>
              <w:t xml:space="preserve"> в действие Постановлением Госстроя РФ от 17.09.2002 г. №123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СП 12-136-2002 «Безопасность труда в строительстве. </w:t>
            </w:r>
            <w:r>
              <w:rPr>
                <w:sz w:val="23"/>
                <w:szCs w:val="23"/>
                <w:highlight w:val="none"/>
              </w:rPr>
              <w:t xml:space="preserve">Решения по охране труда и</w:t>
            </w:r>
            <w:r>
              <w:rPr>
                <w:sz w:val="23"/>
                <w:szCs w:val="23"/>
                <w:highlight w:val="none"/>
              </w:rPr>
              <w:t xml:space="preserve"> промышленной безопасности в ПОС и ППР»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12"/>
              </w:numPr>
              <w:rPr>
                <w:sz w:val="24"/>
                <w:szCs w:val="24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  <w:t xml:space="preserve">РД</w:t>
            </w:r>
            <w:r>
              <w:rPr>
                <w:sz w:val="23"/>
                <w:szCs w:val="23"/>
                <w:highlight w:val="none"/>
              </w:rPr>
              <w:t xml:space="preserve"> 03-615-03 «Порядок применения сварочных технологий при изготовлении, монтаже, ремонте и реконструкции технических устрой</w:t>
            </w:r>
            <w:r>
              <w:rPr>
                <w:sz w:val="23"/>
                <w:szCs w:val="23"/>
                <w:highlight w:val="none"/>
              </w:rPr>
              <w:t xml:space="preserve">ств дл</w:t>
            </w:r>
            <w:r>
              <w:rPr>
                <w:sz w:val="23"/>
                <w:szCs w:val="23"/>
                <w:highlight w:val="none"/>
              </w:rPr>
              <w:t xml:space="preserve">я опасных производственных объектов»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2"/>
              </w:numPr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spacing w:before="2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4.1.1.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ответственности подрядчика подробно указаны в договоре подряда </w:t>
            </w:r>
            <w:r>
              <w:rPr>
                <w:i/>
                <w:sz w:val="24"/>
                <w:szCs w:val="24"/>
                <w:highlight w:val="none"/>
              </w:rPr>
              <w:t xml:space="preserve">(раздел </w:t>
            </w:r>
            <w:r>
              <w:rPr>
                <w:i/>
                <w:sz w:val="24"/>
                <w:szCs w:val="24"/>
                <w:highlight w:val="none"/>
              </w:rPr>
              <w:t xml:space="preserve">7</w:t>
            </w:r>
            <w:r>
              <w:rPr>
                <w:i/>
                <w:sz w:val="24"/>
                <w:szCs w:val="24"/>
                <w:highlight w:val="none"/>
              </w:rPr>
              <w:t xml:space="preserve">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4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-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4.1.2.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гарантии подрядчик подробно указано в договоре подряда </w:t>
            </w:r>
            <w:r>
              <w:rPr>
                <w:i/>
                <w:sz w:val="24"/>
                <w:szCs w:val="24"/>
                <w:highlight w:val="none"/>
              </w:rPr>
              <w:t xml:space="preserve">(раздел </w:t>
            </w:r>
            <w:r>
              <w:rPr>
                <w:i/>
                <w:sz w:val="24"/>
                <w:szCs w:val="24"/>
                <w:highlight w:val="none"/>
              </w:rPr>
              <w:t xml:space="preserve">8</w:t>
            </w:r>
            <w:r>
              <w:rPr>
                <w:i/>
                <w:sz w:val="24"/>
                <w:szCs w:val="24"/>
                <w:highlight w:val="none"/>
              </w:rPr>
              <w:t xml:space="preserve">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rFonts w:eastAsia="Times New Roman"/>
                <w:b w:val="0"/>
                <w:highlight w:val="none"/>
              </w:rPr>
              <w:outlineLvl w:val="2"/>
            </w:pPr>
            <w:r>
              <w:rPr>
                <w:b w:val="0"/>
                <w:highlight w:val="none"/>
              </w:rPr>
              <w:t xml:space="preserve">С</w:t>
            </w:r>
            <w:r>
              <w:rPr>
                <w:rFonts w:eastAsia="Times New Roman"/>
                <w:b w:val="0"/>
                <w:highlight w:val="none"/>
              </w:rPr>
              <w:t xml:space="preserve">огласие с требованиями</w:t>
            </w:r>
            <w:r>
              <w:rPr>
                <w:rFonts w:eastAsia="Times New Roman"/>
                <w:b w:val="0"/>
                <w:highlight w:val="none"/>
              </w:rPr>
            </w:r>
            <w:r>
              <w:rPr>
                <w:rFonts w:eastAsia="Times New Roman"/>
                <w:b w:val="0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-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textDirection w:val="lrTb"/>
            <w:noWrap w:val="false"/>
          </w:tcPr>
          <w:p>
            <w:pPr>
              <w:pStyle w:val="999"/>
              <w:numPr>
                <w:ilvl w:val="0"/>
                <w:numId w:val="2"/>
              </w:numPr>
              <w:jc w:val="center"/>
              <w:spacing w:before="60" w:after="6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-//-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5.1.1.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обязательствам подрядчика, влияющим на исполнение договора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ind w:left="568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i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обязательствам подрядчика подробно указаны в договоре подряда (</w:t>
            </w:r>
            <w:r>
              <w:rPr>
                <w:i/>
                <w:sz w:val="24"/>
                <w:szCs w:val="24"/>
                <w:highlight w:val="none"/>
              </w:rPr>
              <w:t xml:space="preserve">раздел 2)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5.1.2.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Требования к субподрядным организациям привлекаемым к выполнению работ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В случае привлечения к выполнению работ субподрядных организаций, подрядчик обязан письменно согласовать с Заказчиком привлекаемую субподрядную организ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ацию с предоставлением заказчику на момент согласования договора субподряда документов, подтверждающие соответствие их квалификационного уровня, а также готовность и возможность выполнения ими работ, а также документы указанные в п .2.4.2 договора подряда.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6.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Прочие требования к выполняемым работам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Согласие с требованиями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77"/>
        </w:trPr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0029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 xml:space="preserve">Работы выполняются согласно условиям договора подряда.</w:t>
            </w: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</w:r>
          </w:p>
          <w:p>
            <w:pPr>
              <w:jc w:val="both"/>
              <w:rPr>
                <w:b/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 xml:space="preserve">В случае если какой-либо из указанных в настоящих Технических требованиях ГОСТ или нормативный документ был отменен в связи с выпуском новой редакции стандарта, то Подрядчику необходимо применять ГОСТ или нормативный документ, принятый в его развитие.</w:t>
            </w:r>
            <w:r>
              <w:rPr>
                <w:b/>
                <w:sz w:val="23"/>
                <w:szCs w:val="23"/>
                <w:highlight w:val="none"/>
              </w:rPr>
            </w:r>
            <w:r>
              <w:rPr>
                <w:b/>
                <w:sz w:val="23"/>
                <w:szCs w:val="23"/>
                <w:highlight w:val="none"/>
              </w:rPr>
            </w:r>
          </w:p>
        </w:tc>
        <w:tc>
          <w:tcPr>
            <w:tcW w:w="21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1000"/>
              <w:keepNext w:val="0"/>
              <w:rPr>
                <w:highlight w:val="none"/>
              </w:rPr>
              <w:outlineLvl w:val="2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jc w:val="center"/>
        <w:rPr>
          <w:b/>
          <w:i/>
          <w:sz w:val="24"/>
          <w:szCs w:val="24"/>
          <w:highlight w:val="none"/>
        </w:rPr>
      </w:pPr>
      <w:r>
        <w:rPr>
          <w:b/>
          <w:i/>
          <w:sz w:val="24"/>
          <w:szCs w:val="24"/>
          <w:highlight w:val="none"/>
        </w:rPr>
      </w:r>
      <w:r>
        <w:rPr>
          <w:b/>
          <w:i/>
          <w:sz w:val="24"/>
          <w:szCs w:val="24"/>
          <w:highlight w:val="none"/>
        </w:rPr>
      </w:r>
      <w:r>
        <w:rPr>
          <w:b/>
          <w:i/>
          <w:sz w:val="24"/>
          <w:szCs w:val="24"/>
          <w:highlight w:val="none"/>
        </w:rPr>
      </w:r>
    </w:p>
    <w:p>
      <w:pPr>
        <w:jc w:val="center"/>
        <w:rPr>
          <w:b/>
          <w:i/>
          <w:sz w:val="24"/>
          <w:szCs w:val="24"/>
          <w:highlight w:val="none"/>
        </w:rPr>
        <w:sectPr>
          <w:headerReference w:type="even" r:id="rId9"/>
          <w:headerReference w:type="first" r:id="rId10"/>
          <w:footerReference w:type="default" r:id="rId11"/>
          <w:footerReference w:type="first" r:id="rId12"/>
          <w:footnotePr/>
          <w:endnotePr/>
          <w:type w:val="nextPage"/>
          <w:pgSz w:w="16838" w:h="11906" w:orient="landscape"/>
          <w:pgMar w:top="851" w:right="567" w:bottom="851" w:left="992" w:header="680" w:footer="154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  <w:highlight w:val="none"/>
        </w:rPr>
      </w:r>
      <w:r>
        <w:rPr>
          <w:b/>
          <w:i/>
          <w:sz w:val="24"/>
          <w:szCs w:val="24"/>
          <w:highlight w:val="none"/>
        </w:rPr>
      </w:r>
      <w:r>
        <w:rPr>
          <w:b/>
          <w:i/>
          <w:sz w:val="24"/>
          <w:szCs w:val="24"/>
          <w:highlight w:val="none"/>
        </w:rPr>
      </w:r>
    </w:p>
    <w:p>
      <w:pPr>
        <w:pStyle w:val="979"/>
        <w:ind w:left="357" w:hanging="357"/>
        <w:jc w:val="center"/>
        <w:keepLines/>
        <w:rPr>
          <w:sz w:val="24"/>
          <w:szCs w:val="24"/>
          <w:highlight w:val="none"/>
        </w:rPr>
      </w:pPr>
      <w:r>
        <w:rPr>
          <w:highlight w:val="none"/>
        </w:rPr>
      </w:r>
      <w:bookmarkStart w:id="30" w:name="_Toc53393312"/>
      <w:r>
        <w:rPr>
          <w:highlight w:val="none"/>
        </w:rPr>
      </w:r>
      <w:bookmarkStart w:id="31" w:name="_Toc54646411"/>
      <w:r>
        <w:rPr>
          <w:highlight w:val="none"/>
        </w:rPr>
      </w:r>
      <w:bookmarkStart w:id="32" w:name="_Toc46743519"/>
      <w:r>
        <w:rPr>
          <w:highlight w:val="none"/>
        </w:rPr>
      </w:r>
      <w:bookmarkStart w:id="33" w:name="_Toc51339699"/>
      <w:r>
        <w:rPr>
          <w:sz w:val="24"/>
          <w:szCs w:val="24"/>
          <w:highlight w:val="none"/>
        </w:rPr>
        <w:t xml:space="preserve">ТРЕБОВАНИЯ К ДОКУМЕНТАЦИИ ПО ЦЕНООБРАЗОВАНИЮ</w:t>
      </w:r>
      <w:bookmarkEnd w:id="30"/>
      <w:r>
        <w:rPr>
          <w:sz w:val="24"/>
          <w:szCs w:val="24"/>
          <w:highlight w:val="none"/>
        </w:rPr>
        <w:t xml:space="preserve"> НА ЭТАПЕ ЗАКУПКИ</w:t>
      </w:r>
      <w:bookmarkEnd w:id="31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3.1.</w:t>
      </w:r>
      <w:r>
        <w:rPr>
          <w:sz w:val="24"/>
          <w:szCs w:val="24"/>
          <w:highlight w:val="none"/>
        </w:rPr>
        <w:tab/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3.2.</w:t>
      </w:r>
      <w:r>
        <w:rPr>
          <w:sz w:val="24"/>
          <w:szCs w:val="24"/>
          <w:highlight w:val="none"/>
        </w:rPr>
        <w:tab/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79"/>
        <w:ind w:left="357" w:hanging="357"/>
        <w:jc w:val="center"/>
        <w:keepLines/>
        <w:rPr>
          <w:sz w:val="24"/>
          <w:szCs w:val="24"/>
          <w:highlight w:val="none"/>
        </w:rPr>
      </w:pPr>
      <w:r>
        <w:rPr>
          <w:highlight w:val="none"/>
        </w:rPr>
      </w:r>
      <w:bookmarkStart w:id="34" w:name="_Toc54646412"/>
      <w:r>
        <w:rPr>
          <w:sz w:val="24"/>
          <w:szCs w:val="24"/>
          <w:highlight w:val="none"/>
        </w:rPr>
        <w:t xml:space="preserve">ТРЕБОВАНИЯ К ДОКУМЕНТАЦИИ ПО ЦЕНООБРАЗОВАНИЮ НА ЭТАПЕ ЗАКЛЮЧЕНИЯ (ИСПОЛНЕНИЯ) ДОГОВОРА</w:t>
      </w:r>
      <w:bookmarkEnd w:id="34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4.1 Разработка сметной документации осуществляется при заключении и исполнении договора в соответствии со следующими требованиями: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Сметную документацию в виде сводного сметного расчета, составленную с учетом требований раздела </w:t>
      </w:r>
      <w:r>
        <w:rPr>
          <w:sz w:val="24"/>
          <w:szCs w:val="24"/>
          <w:highlight w:val="none"/>
        </w:rPr>
        <w:t xml:space="preserve">4</w:t>
      </w:r>
      <w:r>
        <w:rPr>
          <w:sz w:val="24"/>
          <w:szCs w:val="24"/>
          <w:highlight w:val="none"/>
        </w:rPr>
        <w:t xml:space="preserve"> настоящего Технического задания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4.2 Командировочные расходы определяются по предварительному расчету с расшифровкой затрат на проезд, проживание, суточные расходы (не более </w:t>
      </w:r>
      <w:r>
        <w:rPr>
          <w:sz w:val="24"/>
          <w:szCs w:val="24"/>
          <w:highlight w:val="none"/>
        </w:rPr>
        <w:t xml:space="preserve">5</w:t>
      </w:r>
      <w:r>
        <w:rPr>
          <w:sz w:val="24"/>
          <w:szCs w:val="24"/>
          <w:highlight w:val="none"/>
        </w:rPr>
        <w:t xml:space="preserve">00 руб./</w:t>
      </w:r>
      <w:r>
        <w:rPr>
          <w:sz w:val="24"/>
          <w:szCs w:val="24"/>
          <w:highlight w:val="none"/>
        </w:rPr>
        <w:t xml:space="preserve">сут</w:t>
      </w:r>
      <w:r>
        <w:rPr>
          <w:sz w:val="24"/>
          <w:szCs w:val="24"/>
          <w:highlight w:val="none"/>
        </w:rPr>
        <w:t xml:space="preserve">.). Заказчик имеет право в период действия договора запросить у Подрядчика копии первичных документов, платёжные поручения, реестры и т.д. для проверки соответствия суммы командировочных расходов фактическим затратам.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 В составе </w:t>
      </w:r>
      <w:r>
        <w:rPr>
          <w:sz w:val="24"/>
          <w:szCs w:val="24"/>
          <w:highlight w:val="none"/>
        </w:rPr>
        <w:t xml:space="preserve">рабочей</w:t>
      </w:r>
      <w:r>
        <w:rPr>
          <w:sz w:val="24"/>
          <w:szCs w:val="24"/>
          <w:highlight w:val="none"/>
        </w:rPr>
        <w:t xml:space="preserve"> документации сметы на СМР формировать по следующим критериям: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4.3.1. При составлении сметной документации руководствоваться актуальными методическими документами, действующими на момент составления проектной документации.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4.3.2. Стоимость работ определить базисно-индексным методом, с использованием сборников ФЕР </w:t>
      </w:r>
      <w:r>
        <w:rPr>
          <w:sz w:val="24"/>
          <w:szCs w:val="24"/>
          <w:highlight w:val="none"/>
        </w:rPr>
        <w:t xml:space="preserve">актуальной редакции (строительные, монтажные, пусконаладочные работы) с учетом индексов перевода в текущие цены по статьям затрат, разработанных Министерством строительства и ЖКХ РФ для Республики Саха (Якутия) на момент готовности проектной документации.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– при расчете сметной стоимости, сметную прибыль принять 40% от ФОТ для СМР.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– при расчете сметной стоимости, сметную прибыль принять 36% от ФОТ для ПНР.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4.3.3. Командировочные затраты предусмотреть в размере 3,74% от итогов глав 1-9 без учёта стоимости оборудования.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4.3.4. Величину резерва средств на непредвиденные работы и затраты принимать в размере 3%.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4.3.5. Предусмотреть затраты на выполнение пусконаладочных работ, гарантийных испытаний и обучения персонала Заказчика путём составления локальных смет.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4.3.6. Стоимость материалов и оборудования, учтённых в сметах по текущим ценам, подтвердить обосновывающими документами с предоставлением сравнительной таблицы предложений от трех поставщиков.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4.3.7.  Применяемые ценообразующие документы согласовать с Заказчиком.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4.3.8. Сводный сметный расчёт, объектные сметы, составляются в базисном и текущем уровн</w:t>
      </w:r>
      <w:r>
        <w:rPr>
          <w:sz w:val="24"/>
          <w:szCs w:val="24"/>
          <w:highlight w:val="none"/>
        </w:rPr>
        <w:t xml:space="preserve">е цен на момент строительства.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iCs/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iCs/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numPr>
          <w:ilvl w:val="0"/>
          <w:numId w:val="0"/>
        </w:numPr>
        <w:ind w:left="357" w:firstLine="0"/>
        <w:jc w:val="center"/>
        <w:keepLines/>
        <w:spacing w:before="0" w:after="0"/>
        <w:rPr>
          <w:caps/>
          <w:sz w:val="24"/>
          <w:szCs w:val="24"/>
          <w:highlight w:val="none"/>
        </w:rPr>
      </w:pPr>
      <w:r>
        <w:rPr>
          <w:iCs/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979"/>
        <w:ind w:left="357" w:hanging="357"/>
        <w:jc w:val="center"/>
        <w:keepLines/>
        <w:spacing w:before="0" w:after="0"/>
        <w:rPr>
          <w:iCs/>
          <w:caps/>
          <w:sz w:val="24"/>
          <w:szCs w:val="24"/>
          <w:highlight w:val="none"/>
        </w:rPr>
      </w:pPr>
      <w:r>
        <w:rPr>
          <w:highlight w:val="none"/>
        </w:rPr>
      </w:r>
      <w:bookmarkStart w:id="35" w:name="_Toc54646413"/>
      <w:r>
        <w:rPr>
          <w:iCs/>
          <w:sz w:val="24"/>
          <w:szCs w:val="24"/>
          <w:highlight w:val="none"/>
        </w:rPr>
        <w:t xml:space="preserve">ПРИЛОЖЕНИЯ</w:t>
      </w:r>
      <w:bookmarkEnd w:id="32"/>
      <w:r>
        <w:rPr>
          <w:highlight w:val="none"/>
        </w:rPr>
      </w:r>
      <w:bookmarkEnd w:id="33"/>
      <w:r>
        <w:rPr>
          <w:highlight w:val="none"/>
        </w:rPr>
      </w:r>
      <w:bookmarkEnd w:id="35"/>
      <w:r>
        <w:rPr>
          <w:iCs/>
          <w:caps/>
          <w:sz w:val="24"/>
          <w:szCs w:val="24"/>
          <w:highlight w:val="none"/>
        </w:rPr>
      </w:r>
      <w:r>
        <w:rPr>
          <w:iCs/>
          <w:caps/>
          <w:sz w:val="24"/>
          <w:szCs w:val="24"/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№1 «</w:t>
      </w:r>
      <w:r>
        <w:rPr>
          <w:highlight w:val="none"/>
        </w:rPr>
        <w:t xml:space="preserve">Ведомость объемов работ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№2 «</w:t>
      </w:r>
      <w:r>
        <w:rPr>
          <w:bCs/>
          <w:sz w:val="24"/>
          <w:szCs w:val="24"/>
          <w:highlight w:val="none"/>
        </w:rPr>
        <w:t xml:space="preserve">РД по шифру 20-09/08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Приложение №3</w:t>
      </w:r>
      <w:r>
        <w:rPr>
          <w:bCs/>
          <w:sz w:val="24"/>
          <w:szCs w:val="24"/>
          <w:highlight w:val="none"/>
        </w:rPr>
        <w:t xml:space="preserve"> «</w:t>
      </w:r>
      <w:r>
        <w:rPr>
          <w:bCs/>
          <w:sz w:val="24"/>
          <w:szCs w:val="24"/>
          <w:highlight w:val="none"/>
        </w:rPr>
        <w:t xml:space="preserve">Ведомость </w:t>
      </w:r>
      <w:r>
        <w:rPr>
          <w:bCs/>
          <w:sz w:val="24"/>
          <w:szCs w:val="24"/>
          <w:highlight w:val="none"/>
        </w:rPr>
        <w:t xml:space="preserve">поставки Подрядчика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Приложение №4 «</w:t>
      </w:r>
      <w:r>
        <w:rPr>
          <w:bCs/>
          <w:sz w:val="24"/>
          <w:szCs w:val="24"/>
          <w:highlight w:val="none"/>
        </w:rPr>
        <w:t xml:space="preserve">Ведомость </w:t>
      </w:r>
      <w:r>
        <w:rPr>
          <w:bCs/>
          <w:sz w:val="24"/>
          <w:szCs w:val="24"/>
          <w:highlight w:val="none"/>
        </w:rPr>
        <w:t xml:space="preserve">поставки Заказчика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№5 </w:t>
      </w:r>
      <w:r>
        <w:rPr>
          <w:bCs/>
          <w:sz w:val="23"/>
          <w:szCs w:val="23"/>
          <w:highlight w:val="none"/>
        </w:rPr>
        <w:t xml:space="preserve">Положения о допуске персонала подрядных организаций к </w:t>
      </w:r>
      <w:r>
        <w:rPr>
          <w:bCs/>
          <w:sz w:val="23"/>
          <w:szCs w:val="23"/>
          <w:highlight w:val="none"/>
        </w:rPr>
        <w:t xml:space="preserve">выполнению работ на </w:t>
      </w:r>
      <w:r>
        <w:rPr>
          <w:bCs/>
          <w:sz w:val="23"/>
          <w:szCs w:val="23"/>
          <w:highlight w:val="none"/>
        </w:rPr>
        <w:t xml:space="preserve">объектах АО «ДГК»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№6 «</w:t>
      </w:r>
      <w:r>
        <w:rPr>
          <w:bCs/>
          <w:sz w:val="24"/>
          <w:szCs w:val="24"/>
          <w:highlight w:val="none"/>
        </w:rPr>
        <w:t xml:space="preserve">Сводный сметный расчет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№7 «</w:t>
      </w:r>
      <w:r>
        <w:rPr>
          <w:bCs/>
          <w:sz w:val="24"/>
          <w:szCs w:val="24"/>
          <w:highlight w:val="none"/>
        </w:rPr>
        <w:t xml:space="preserve">ЛОКАЛЬНЫЙ СМЕТНЫЙ РАСЧЕТ (СМЕТА) № 02-01-01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999"/>
        <w:numPr>
          <w:ilvl w:val="0"/>
          <w:numId w:val="17"/>
        </w:numPr>
        <w:ind w:left="462" w:hanging="457"/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№8 </w:t>
      </w:r>
      <w:r>
        <w:rPr>
          <w:bCs/>
          <w:sz w:val="24"/>
          <w:szCs w:val="24"/>
          <w:highlight w:val="none"/>
        </w:rPr>
        <w:t xml:space="preserve">«</w:t>
      </w:r>
      <w:r>
        <w:rPr>
          <w:bCs/>
          <w:sz w:val="24"/>
          <w:szCs w:val="24"/>
          <w:highlight w:val="none"/>
        </w:rPr>
        <w:t xml:space="preserve">ЛОКАЛЬНЫЙ СМЕТНЫЙ РАСЧЕТ (СМЕТА) № 02-01-02</w:t>
      </w:r>
      <w:r>
        <w:rPr>
          <w:bCs/>
          <w:sz w:val="24"/>
          <w:szCs w:val="24"/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12"/>
        <w:ind w:left="0" w:right="0" w:firstLine="0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-108" w:leader="none"/>
          <w:tab w:val="left" w:pos="320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567" w:right="707" w:bottom="992" w:left="1134" w:header="680" w:footer="0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semenova_ev" w:date="2024-10-22T16:02:20Z" w:initials="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Все ссылки на приложения по тексту ТТ исправить как здесь!!</w:t>
      </w:r>
    </w:p>
  </w:comment>
  <w:comment w:id="3" w:author="semenova_ev" w:date="2024-10-22T15:58:02Z" w:initials="s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Внимательно прочитайте это требование, о чем оно?!!!</w:t>
      </w:r>
    </w:p>
  </w:comment>
  <w:comment w:id="2" w:author="semenova_ev" w:date="2024-10-22T16:00:17Z" w:initials="s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 где требования к персоналу? Только к ИТР?! Аттестация НАКС необходима для Ваших работ?</w:t>
      </w:r>
    </w:p>
  </w:comment>
  <w:comment w:id="1" w:author="semenova_ev" w:date="2024-10-22T15:53:07Z" w:initials="s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укажите правильно эти приложения , как они звучат в разделе 5  ТТ!!</w:t>
      </w:r>
    </w:p>
  </w:comment>
  <w:comment w:id="0" w:author="semenova_ev" w:date="2024-10-22T15:54:33Z" w:initials="s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чья поставка?!!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  <w15:commentEx w15:paraId="00000004" w15:done="1"/>
  <w15:commentEx w15:paraId="0000000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9FF16E7" w16cex:dateUtc="2024-10-22T07:02:20Z"/>
  <w16cex:commentExtensible w16cex:durableId="7855265E" w16cex:dateUtc="2024-10-22T06:58:02Z"/>
  <w16cex:commentExtensible w16cex:durableId="320F6CB3" w16cex:dateUtc="2024-10-22T07:00:17Z"/>
  <w16cex:commentExtensible w16cex:durableId="4E7C253A" w16cex:dateUtc="2024-10-22T06:53:07Z"/>
  <w16cex:commentExtensible w16cex:durableId="20C32580" w16cex:dateUtc="2024-10-22T06:54:3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9FF16E7"/>
  <w16cid:commentId w16cid:paraId="00000002" w16cid:durableId="7855265E"/>
  <w16cid:commentId w16cid:paraId="00000003" w16cid:durableId="320F6CB3"/>
  <w16cid:commentId w16cid:paraId="00000004" w16cid:durableId="4E7C253A"/>
  <w16cid:commentId w16cid:paraId="00000005" w16cid:durableId="20C325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30202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07595505"/>
      <w:docPartObj>
        <w:docPartGallery w:val="Page Numbers (Bottom of Page)"/>
        <w:docPartUnique w:val="true"/>
      </w:docPartObj>
      <w:rPr/>
    </w:sdtPr>
    <w:sdtContent>
      <w:sdt>
        <w:sdtPr>
          <w15:appearance w15:val="boundingBox"/>
          <w:id w:val="1524831211"/>
          <w:docPartObj>
            <w:docPartGallery w:val="Page Numbers (Top of Page)"/>
            <w:docPartUnique w:val="true"/>
          </w:docPartObj>
          <w:rPr>
            <w:sz w:val="20"/>
            <w:szCs w:val="20"/>
          </w:rPr>
        </w:sdtPr>
        <w:sdtContent>
          <w:p>
            <w:pPr>
              <w:pStyle w:val="99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Страница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PAGE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 xml:space="preserve">16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из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NUMPAGES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 xml:space="preserve">16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sdtContent>
      </w:sdt>
    </w:sdtContent>
  </w:sdt>
  <w:p>
    <w:pPr>
      <w:pStyle w:val="99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57453270"/>
      <w:docPartObj>
        <w:docPartGallery w:val="Page Numbers (Bottom of Page)"/>
        <w:docPartUnique w:val="true"/>
      </w:docPartObj>
      <w:rPr>
        <w:sz w:val="20"/>
        <w:szCs w:val="20"/>
      </w:rPr>
    </w:sdtPr>
    <w:sdtContent>
      <w:sdt>
        <w:sdtPr>
          <w15:appearance w15:val="boundingBox"/>
          <w:id w:val="-1769616900"/>
          <w:docPartObj>
            <w:docPartGallery w:val="Page Numbers (Top of Page)"/>
            <w:docPartUnique w:val="true"/>
          </w:docPartObj>
          <w:rPr>
            <w:sz w:val="20"/>
            <w:szCs w:val="20"/>
          </w:rPr>
        </w:sdtPr>
        <w:sdtContent>
          <w:p>
            <w:pPr>
              <w:pStyle w:val="99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Страница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PAGE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 xml:space="preserve">15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из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NUMPAGES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 xml:space="preserve">16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sdtContent>
      </w:sdt>
    </w:sdtContent>
  </w:sdt>
  <w:p>
    <w:pPr>
      <w:pStyle w:val="9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rPr>
        <w:rStyle w:val="996"/>
      </w:rPr>
      <w:framePr w:wrap="around" w:vAnchor="text" w:hAnchor="margin" w:xAlign="center" w:y="1"/>
    </w:pPr>
    <w:r>
      <w:rPr>
        <w:rStyle w:val="996"/>
      </w:rPr>
      <w:fldChar w:fldCharType="begin"/>
    </w:r>
    <w:r>
      <w:rPr>
        <w:rStyle w:val="996"/>
      </w:rPr>
      <w:instrText xml:space="preserve">PAGE  </w:instrText>
    </w:r>
    <w:r>
      <w:rPr>
        <w:rStyle w:val="996"/>
      </w:rPr>
      <w:fldChar w:fldCharType="separate"/>
    </w:r>
    <w:r>
      <w:rPr>
        <w:rStyle w:val="996"/>
      </w:rPr>
      <w:t xml:space="preserve">6</w:t>
    </w:r>
    <w:r>
      <w:rPr>
        <w:rStyle w:val="996"/>
      </w:rPr>
      <w:fldChar w:fldCharType="end"/>
    </w:r>
    <w:r>
      <w:rPr>
        <w:rStyle w:val="996"/>
      </w:rPr>
    </w:r>
    <w:r>
      <w:rPr>
        <w:rStyle w:val="996"/>
      </w:rPr>
    </w:r>
  </w:p>
  <w:p>
    <w:pPr>
      <w:pStyle w:val="9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pStyle w:val="9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82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pStyle w:val="9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5038" w:hanging="360"/>
      </w:pPr>
      <w:rPr>
        <w:rFonts w:hint="default" w:ascii="Wingdings" w:hAnsi="Wingdings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pStyle w:val="9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82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pStyle w:val="9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pStyle w:val="9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82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pStyle w:val="9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5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10"/>
  </w:num>
  <w:num w:numId="7">
    <w:abstractNumId w:val="4"/>
  </w:num>
  <w:num w:numId="8">
    <w:abstractNumId w:val="5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menova_ev">
    <w15:presenceInfo w15:providerId="Teamlab" w15:userId="semenova_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0">
    <w:name w:val="Heading 1 Char"/>
    <w:basedOn w:val="983"/>
    <w:link w:val="979"/>
    <w:uiPriority w:val="9"/>
    <w:rPr>
      <w:rFonts w:ascii="Arial" w:hAnsi="Arial" w:eastAsia="Arial" w:cs="Arial"/>
      <w:sz w:val="40"/>
      <w:szCs w:val="40"/>
    </w:rPr>
  </w:style>
  <w:style w:type="character" w:styleId="811">
    <w:name w:val="Heading 2 Char"/>
    <w:basedOn w:val="983"/>
    <w:link w:val="980"/>
    <w:uiPriority w:val="9"/>
    <w:rPr>
      <w:rFonts w:ascii="Arial" w:hAnsi="Arial" w:eastAsia="Arial" w:cs="Arial"/>
      <w:sz w:val="34"/>
    </w:rPr>
  </w:style>
  <w:style w:type="character" w:styleId="812">
    <w:name w:val="Heading 3 Char"/>
    <w:basedOn w:val="983"/>
    <w:link w:val="981"/>
    <w:uiPriority w:val="9"/>
    <w:rPr>
      <w:rFonts w:ascii="Arial" w:hAnsi="Arial" w:eastAsia="Arial" w:cs="Arial"/>
      <w:sz w:val="30"/>
      <w:szCs w:val="30"/>
    </w:rPr>
  </w:style>
  <w:style w:type="character" w:styleId="813">
    <w:name w:val="Heading 4 Char"/>
    <w:basedOn w:val="983"/>
    <w:link w:val="982"/>
    <w:uiPriority w:val="9"/>
    <w:rPr>
      <w:rFonts w:ascii="Arial" w:hAnsi="Arial" w:eastAsia="Arial" w:cs="Arial"/>
      <w:b/>
      <w:bCs/>
      <w:sz w:val="26"/>
      <w:szCs w:val="26"/>
    </w:rPr>
  </w:style>
  <w:style w:type="paragraph" w:styleId="814">
    <w:name w:val="Heading 5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5">
    <w:name w:val="Heading 5 Char"/>
    <w:basedOn w:val="983"/>
    <w:link w:val="814"/>
    <w:uiPriority w:val="9"/>
    <w:rPr>
      <w:rFonts w:ascii="Arial" w:hAnsi="Arial" w:eastAsia="Arial" w:cs="Arial"/>
      <w:b/>
      <w:bCs/>
      <w:sz w:val="24"/>
      <w:szCs w:val="24"/>
    </w:rPr>
  </w:style>
  <w:style w:type="paragraph" w:styleId="816">
    <w:name w:val="Heading 6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7">
    <w:name w:val="Heading 6 Char"/>
    <w:basedOn w:val="983"/>
    <w:link w:val="816"/>
    <w:uiPriority w:val="9"/>
    <w:rPr>
      <w:rFonts w:ascii="Arial" w:hAnsi="Arial" w:eastAsia="Arial" w:cs="Arial"/>
      <w:b/>
      <w:bCs/>
      <w:sz w:val="22"/>
      <w:szCs w:val="22"/>
    </w:rPr>
  </w:style>
  <w:style w:type="paragraph" w:styleId="818">
    <w:name w:val="Heading 7"/>
    <w:basedOn w:val="978"/>
    <w:next w:val="978"/>
    <w:link w:val="8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9">
    <w:name w:val="Heading 7 Char"/>
    <w:basedOn w:val="983"/>
    <w:link w:val="8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0">
    <w:name w:val="Heading 8"/>
    <w:basedOn w:val="978"/>
    <w:next w:val="978"/>
    <w:link w:val="8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1">
    <w:name w:val="Heading 8 Char"/>
    <w:basedOn w:val="983"/>
    <w:link w:val="820"/>
    <w:uiPriority w:val="9"/>
    <w:rPr>
      <w:rFonts w:ascii="Arial" w:hAnsi="Arial" w:eastAsia="Arial" w:cs="Arial"/>
      <w:i/>
      <w:iCs/>
      <w:sz w:val="22"/>
      <w:szCs w:val="22"/>
    </w:rPr>
  </w:style>
  <w:style w:type="paragraph" w:styleId="822">
    <w:name w:val="Heading 9"/>
    <w:basedOn w:val="978"/>
    <w:next w:val="978"/>
    <w:link w:val="8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3">
    <w:name w:val="Heading 9 Char"/>
    <w:basedOn w:val="983"/>
    <w:link w:val="822"/>
    <w:uiPriority w:val="9"/>
    <w:rPr>
      <w:rFonts w:ascii="Arial" w:hAnsi="Arial" w:eastAsia="Arial" w:cs="Arial"/>
      <w:i/>
      <w:iCs/>
      <w:sz w:val="21"/>
      <w:szCs w:val="21"/>
    </w:rPr>
  </w:style>
  <w:style w:type="paragraph" w:styleId="824">
    <w:name w:val="No Spacing"/>
    <w:uiPriority w:val="1"/>
    <w:qFormat/>
    <w:pPr>
      <w:spacing w:before="0" w:after="0" w:line="240" w:lineRule="auto"/>
    </w:pPr>
  </w:style>
  <w:style w:type="paragraph" w:styleId="825">
    <w:name w:val="Title"/>
    <w:basedOn w:val="978"/>
    <w:next w:val="978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>
    <w:name w:val="Title Char"/>
    <w:basedOn w:val="983"/>
    <w:link w:val="825"/>
    <w:uiPriority w:val="10"/>
    <w:rPr>
      <w:sz w:val="48"/>
      <w:szCs w:val="48"/>
    </w:rPr>
  </w:style>
  <w:style w:type="paragraph" w:styleId="827">
    <w:name w:val="Subtitle"/>
    <w:basedOn w:val="978"/>
    <w:next w:val="978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>
    <w:name w:val="Subtitle Char"/>
    <w:basedOn w:val="983"/>
    <w:link w:val="827"/>
    <w:uiPriority w:val="11"/>
    <w:rPr>
      <w:sz w:val="24"/>
      <w:szCs w:val="24"/>
    </w:rPr>
  </w:style>
  <w:style w:type="paragraph" w:styleId="829">
    <w:name w:val="Quote"/>
    <w:basedOn w:val="978"/>
    <w:next w:val="978"/>
    <w:link w:val="830"/>
    <w:uiPriority w:val="29"/>
    <w:qFormat/>
    <w:pPr>
      <w:ind w:left="720" w:right="720"/>
    </w:pPr>
    <w:rPr>
      <w:i/>
    </w:rPr>
  </w:style>
  <w:style w:type="character" w:styleId="830">
    <w:name w:val="Quote Char"/>
    <w:link w:val="829"/>
    <w:uiPriority w:val="29"/>
    <w:rPr>
      <w:i/>
    </w:rPr>
  </w:style>
  <w:style w:type="paragraph" w:styleId="831">
    <w:name w:val="Intense Quote"/>
    <w:basedOn w:val="978"/>
    <w:next w:val="978"/>
    <w:link w:val="8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>
    <w:name w:val="Intense Quote Char"/>
    <w:link w:val="831"/>
    <w:uiPriority w:val="30"/>
    <w:rPr>
      <w:i/>
    </w:rPr>
  </w:style>
  <w:style w:type="character" w:styleId="833">
    <w:name w:val="Header Char"/>
    <w:basedOn w:val="983"/>
    <w:link w:val="991"/>
    <w:uiPriority w:val="99"/>
  </w:style>
  <w:style w:type="character" w:styleId="834">
    <w:name w:val="Footer Char"/>
    <w:basedOn w:val="983"/>
    <w:link w:val="994"/>
    <w:uiPriority w:val="99"/>
  </w:style>
  <w:style w:type="paragraph" w:styleId="835">
    <w:name w:val="Caption"/>
    <w:basedOn w:val="978"/>
    <w:next w:val="9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>
    <w:name w:val="Caption Char"/>
    <w:basedOn w:val="835"/>
    <w:link w:val="994"/>
    <w:uiPriority w:val="99"/>
  </w:style>
  <w:style w:type="table" w:styleId="837">
    <w:name w:val="Table Grid Light"/>
    <w:basedOn w:val="9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Plain Table 1"/>
    <w:basedOn w:val="9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9">
    <w:name w:val="Plain Table 2"/>
    <w:basedOn w:val="9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1">
    <w:name w:val="Plain Table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Plain Table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3">
    <w:name w:val="Grid Table 1 Light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4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5">
    <w:name w:val="Grid Table 4 - Accent 1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6">
    <w:name w:val="Grid Table 4 - Accent 2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7">
    <w:name w:val="Grid Table 4 - Accent 3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8">
    <w:name w:val="Grid Table 4 - Accent 4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9">
    <w:name w:val="Grid Table 4 - Accent 5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0">
    <w:name w:val="Grid Table 4 - Accent 6"/>
    <w:basedOn w:val="9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1">
    <w:name w:val="Grid Table 5 Dark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2">
    <w:name w:val="Grid Table 5 Dark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5">
    <w:name w:val="Grid Table 5 Dark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8">
    <w:name w:val="Grid Table 6 Colorful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9">
    <w:name w:val="Grid Table 6 Colorful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0">
    <w:name w:val="Grid Table 6 Colorful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1">
    <w:name w:val="Grid Table 6 Colorful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2">
    <w:name w:val="Grid Table 6 Colorful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3">
    <w:name w:val="Grid Table 6 Colorful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4">
    <w:name w:val="Grid Table 6 Colorful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7 Colorful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0">
    <w:name w:val="List Table 2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1">
    <w:name w:val="List Table 2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2">
    <w:name w:val="List Table 2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3">
    <w:name w:val="List Table 2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4">
    <w:name w:val="List Table 2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5">
    <w:name w:val="List Table 2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6">
    <w:name w:val="List Table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5 Dark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6 Colorful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8">
    <w:name w:val="List Table 6 Colorful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9">
    <w:name w:val="List Table 6 Colorful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0">
    <w:name w:val="List Table 6 Colorful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1">
    <w:name w:val="List Table 6 Colorful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2">
    <w:name w:val="List Table 6 Colorful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3">
    <w:name w:val="List Table 6 Colorful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4">
    <w:name w:val="List Table 7 Colorful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5">
    <w:name w:val="List Table 7 Colorful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6">
    <w:name w:val="List Table 7 Colorful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7">
    <w:name w:val="List Table 7 Colorful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8">
    <w:name w:val="List Table 7 Colorful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9">
    <w:name w:val="List Table 7 Colorful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40">
    <w:name w:val="List Table 7 Colorful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1">
    <w:name w:val="Lined - Accent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2">
    <w:name w:val="Lined - Accent 1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3">
    <w:name w:val="Lined - Accent 2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4">
    <w:name w:val="Lined - Accent 3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5">
    <w:name w:val="Lined - Accent 4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6">
    <w:name w:val="Lined - Accent 5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7">
    <w:name w:val="Lined - Accent 6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8">
    <w:name w:val="Bordered &amp; Lined - Accent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9">
    <w:name w:val="Bordered &amp; Lined - Accent 1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0">
    <w:name w:val="Bordered &amp; Lined - Accent 2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1">
    <w:name w:val="Bordered &amp; Lined - Accent 3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2">
    <w:name w:val="Bordered &amp; Lined - Accent 4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3">
    <w:name w:val="Bordered &amp; Lined - Accent 5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4">
    <w:name w:val="Bordered &amp; Lined - Accent 6"/>
    <w:basedOn w:val="9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5">
    <w:name w:val="Bordered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6">
    <w:name w:val="Bordered - Accent 1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7">
    <w:name w:val="Bordered - Accent 2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8">
    <w:name w:val="Bordered - Accent 3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9">
    <w:name w:val="Bordered - Accent 4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0">
    <w:name w:val="Bordered - Accent 5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1">
    <w:name w:val="Bordered - Accent 6"/>
    <w:basedOn w:val="9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2">
    <w:name w:val="Hyperlink"/>
    <w:uiPriority w:val="99"/>
    <w:unhideWhenUsed/>
    <w:rPr>
      <w:color w:val="0000ff" w:themeColor="hyperlink"/>
      <w:u w:val="single"/>
    </w:rPr>
  </w:style>
  <w:style w:type="character" w:styleId="963">
    <w:name w:val="Footnote Text Char"/>
    <w:link w:val="1004"/>
    <w:uiPriority w:val="99"/>
    <w:rPr>
      <w:sz w:val="18"/>
    </w:rPr>
  </w:style>
  <w:style w:type="paragraph" w:styleId="964">
    <w:name w:val="endnote text"/>
    <w:basedOn w:val="978"/>
    <w:link w:val="965"/>
    <w:uiPriority w:val="99"/>
    <w:semiHidden/>
    <w:unhideWhenUsed/>
    <w:pPr>
      <w:spacing w:after="0" w:line="240" w:lineRule="auto"/>
    </w:pPr>
    <w:rPr>
      <w:sz w:val="20"/>
    </w:rPr>
  </w:style>
  <w:style w:type="character" w:styleId="965">
    <w:name w:val="Endnote Text Char"/>
    <w:link w:val="964"/>
    <w:uiPriority w:val="99"/>
    <w:rPr>
      <w:sz w:val="20"/>
    </w:rPr>
  </w:style>
  <w:style w:type="character" w:styleId="966">
    <w:name w:val="endnote reference"/>
    <w:basedOn w:val="983"/>
    <w:uiPriority w:val="99"/>
    <w:semiHidden/>
    <w:unhideWhenUsed/>
    <w:rPr>
      <w:vertAlign w:val="superscript"/>
    </w:rPr>
  </w:style>
  <w:style w:type="paragraph" w:styleId="967">
    <w:name w:val="toc 1"/>
    <w:basedOn w:val="978"/>
    <w:next w:val="978"/>
    <w:uiPriority w:val="39"/>
    <w:unhideWhenUsed/>
    <w:pPr>
      <w:ind w:left="0" w:right="0" w:firstLine="0"/>
      <w:spacing w:after="57"/>
    </w:p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79">
    <w:name w:val="Heading 1"/>
    <w:basedOn w:val="981"/>
    <w:next w:val="978"/>
    <w:link w:val="986"/>
    <w:qFormat/>
    <w:pPr>
      <w:numPr>
        <w:ilvl w:val="0"/>
      </w:numPr>
      <w:outlineLvl w:val="0"/>
    </w:pPr>
    <w:rPr>
      <w:sz w:val="28"/>
      <w:szCs w:val="28"/>
    </w:rPr>
  </w:style>
  <w:style w:type="paragraph" w:styleId="980">
    <w:name w:val="Heading 2"/>
    <w:basedOn w:val="982"/>
    <w:next w:val="978"/>
    <w:link w:val="987"/>
    <w:qFormat/>
    <w:pPr>
      <w:outlineLvl w:val="1"/>
    </w:pPr>
  </w:style>
  <w:style w:type="paragraph" w:styleId="981">
    <w:name w:val="Heading 3"/>
    <w:basedOn w:val="978"/>
    <w:next w:val="978"/>
    <w:link w:val="988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82">
    <w:name w:val="Heading 4"/>
    <w:basedOn w:val="981"/>
    <w:next w:val="978"/>
    <w:link w:val="989"/>
    <w:qFormat/>
    <w:pPr>
      <w:numPr>
        <w:ilvl w:val="1"/>
      </w:numPr>
      <w:outlineLvl w:val="3"/>
    </w:pPr>
    <w:rPr>
      <w:bCs/>
    </w:rPr>
  </w:style>
  <w:style w:type="character" w:styleId="983" w:default="1">
    <w:name w:val="Default Paragraph Font"/>
    <w:uiPriority w:val="1"/>
    <w:semiHidden/>
    <w:unhideWhenUsed/>
  </w:style>
  <w:style w:type="table" w:styleId="9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5" w:default="1">
    <w:name w:val="No List"/>
    <w:uiPriority w:val="99"/>
    <w:semiHidden/>
    <w:unhideWhenUsed/>
  </w:style>
  <w:style w:type="character" w:styleId="986" w:customStyle="1">
    <w:name w:val="Заголовок 1 Знак"/>
    <w:basedOn w:val="983"/>
    <w:link w:val="979"/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styleId="987" w:customStyle="1">
    <w:name w:val="Заголовок 2 Знак"/>
    <w:basedOn w:val="983"/>
    <w:link w:val="980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988" w:customStyle="1">
    <w:name w:val="Заголовок 3 Знак"/>
    <w:basedOn w:val="983"/>
    <w:link w:val="981"/>
    <w:rPr>
      <w:rFonts w:ascii="Times New Roman" w:hAnsi="Times New Roman" w:eastAsia="Calibri" w:cs="Times New Roman"/>
      <w:b/>
      <w:sz w:val="24"/>
      <w:szCs w:val="24"/>
      <w:lang w:eastAsia="ru-RU"/>
    </w:rPr>
  </w:style>
  <w:style w:type="character" w:styleId="989" w:customStyle="1">
    <w:name w:val="Заголовок 4 Знак"/>
    <w:basedOn w:val="983"/>
    <w:link w:val="982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990" w:customStyle="1">
    <w:name w:val="Нижний колонтитул Знак"/>
    <w:link w:val="994"/>
    <w:uiPriority w:val="99"/>
  </w:style>
  <w:style w:type="paragraph" w:styleId="991">
    <w:name w:val="Header"/>
    <w:basedOn w:val="978"/>
    <w:link w:val="992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992" w:customStyle="1">
    <w:name w:val="Верхний колонтитул Знак"/>
    <w:basedOn w:val="983"/>
    <w:link w:val="991"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93">
    <w:name w:val="Table Grid"/>
    <w:basedOn w:val="984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4">
    <w:name w:val="Footer"/>
    <w:basedOn w:val="978"/>
    <w:link w:val="990"/>
    <w:uiPriority w:val="99"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95" w:customStyle="1">
    <w:name w:val="Нижний колонтитул Знак1"/>
    <w:basedOn w:val="983"/>
    <w:uiPriority w:val="99"/>
    <w:semiHidden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96">
    <w:name w:val="page number"/>
    <w:basedOn w:val="983"/>
  </w:style>
  <w:style w:type="paragraph" w:styleId="997">
    <w:name w:val="annotation text"/>
    <w:basedOn w:val="978"/>
    <w:link w:val="998"/>
    <w:rPr>
      <w:sz w:val="20"/>
      <w:szCs w:val="20"/>
    </w:rPr>
  </w:style>
  <w:style w:type="character" w:styleId="998" w:customStyle="1">
    <w:name w:val="Текст примечания Знак"/>
    <w:basedOn w:val="983"/>
    <w:link w:val="99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9">
    <w:name w:val="List Paragraph"/>
    <w:basedOn w:val="978"/>
    <w:link w:val="1002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00" w:customStyle="1">
    <w:name w:val="Таблица"/>
    <w:basedOn w:val="97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001" w:customStyle="1">
    <w:name w:val="Таблица шапка"/>
    <w:basedOn w:val="978"/>
    <w:pPr>
      <w:ind w:left="57" w:right="57"/>
      <w:keepNext/>
      <w:spacing w:before="40" w:after="40"/>
    </w:pPr>
    <w:rPr>
      <w:sz w:val="22"/>
      <w:szCs w:val="26"/>
    </w:rPr>
  </w:style>
  <w:style w:type="character" w:styleId="1002" w:customStyle="1">
    <w:name w:val="Абзац списка Знак"/>
    <w:link w:val="999"/>
    <w:uiPriority w:val="34"/>
    <w:qFormat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1003" w:customStyle="1">
    <w:name w:val="комментарий"/>
    <w:rPr>
      <w:b/>
      <w:i/>
      <w:shd w:val="clear" w:color="auto" w:fill="ffff99"/>
    </w:rPr>
  </w:style>
  <w:style w:type="paragraph" w:styleId="1004">
    <w:name w:val="footnote text"/>
    <w:basedOn w:val="978"/>
    <w:link w:val="1005"/>
    <w:uiPriority w:val="99"/>
    <w:semiHidden/>
    <w:rPr>
      <w:sz w:val="20"/>
      <w:szCs w:val="20"/>
    </w:rPr>
  </w:style>
  <w:style w:type="character" w:styleId="1005" w:customStyle="1">
    <w:name w:val="Текст сноски Знак"/>
    <w:basedOn w:val="983"/>
    <w:link w:val="100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06">
    <w:name w:val="footnote reference"/>
    <w:uiPriority w:val="99"/>
    <w:semiHidden/>
    <w:rPr>
      <w:vertAlign w:val="superscript"/>
    </w:rPr>
  </w:style>
  <w:style w:type="character" w:styleId="1007">
    <w:name w:val="annotation reference"/>
    <w:basedOn w:val="983"/>
    <w:uiPriority w:val="99"/>
    <w:semiHidden/>
    <w:unhideWhenUsed/>
    <w:rPr>
      <w:sz w:val="16"/>
      <w:szCs w:val="16"/>
    </w:rPr>
  </w:style>
  <w:style w:type="paragraph" w:styleId="1008">
    <w:name w:val="annotation subject"/>
    <w:basedOn w:val="997"/>
    <w:next w:val="997"/>
    <w:link w:val="1009"/>
    <w:uiPriority w:val="99"/>
    <w:semiHidden/>
    <w:unhideWhenUsed/>
    <w:rPr>
      <w:b/>
      <w:bCs/>
    </w:rPr>
  </w:style>
  <w:style w:type="character" w:styleId="1009" w:customStyle="1">
    <w:name w:val="Тема примечания Знак"/>
    <w:basedOn w:val="998"/>
    <w:link w:val="100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10">
    <w:name w:val="Balloon Text"/>
    <w:basedOn w:val="978"/>
    <w:link w:val="101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11" w:customStyle="1">
    <w:name w:val="Текст выноски Знак"/>
    <w:basedOn w:val="983"/>
    <w:link w:val="101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12" w:customStyle="1">
    <w:name w:val="Body Text"/>
    <w:basedOn w:val="91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4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https://docs.cntd.ru/document/573068704" TargetMode="External"/><Relationship Id="rId14" Type="http://schemas.openxmlformats.org/officeDocument/2006/relationships/hyperlink" Target="https://docs.cntd.ru/document/573114692" TargetMode="External"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8/08/relationships/commentsExtensible" Target="commentsExtensible.xml" /><Relationship Id="rId18" Type="http://schemas.microsoft.com/office/2016/09/relationships/commentsIds" Target="commentsIds.xml" /><Relationship Id="rId19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Колоусов Иван Владимирович</dc:creator>
  <cp:keywords/>
  <dc:description/>
  <cp:lastModifiedBy>Unknown.User</cp:lastModifiedBy>
  <cp:revision>51</cp:revision>
  <dcterms:created xsi:type="dcterms:W3CDTF">2023-01-19T06:29:00Z</dcterms:created>
  <dcterms:modified xsi:type="dcterms:W3CDTF">2024-11-11T06:50:59Z</dcterms:modified>
</cp:coreProperties>
</file>