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Акционерное общество «Дальневосточная генерирующая компания» (АО «ДГК»)</w:t>
      </w:r>
      <w:r>
        <w:rPr>
          <w:rFonts w:ascii="Times New Roman" w:hAnsi="Times New Roman" w:cs="Times New Roman"/>
          <w:b/>
          <w:sz w:val="24"/>
          <w:szCs w:val="24"/>
        </w:rPr>
        <w:t xml:space="preserve"> сообщает о внесении изменений в </w:t>
      </w:r>
      <w:r>
        <w:rPr>
          <w:rFonts w:ascii="Times New Roman" w:hAnsi="Times New Roman" w:cs="Times New Roman"/>
          <w:b/>
          <w:sz w:val="24"/>
          <w:szCs w:val="24"/>
        </w:rPr>
        <w:t xml:space="preserve">Извещение </w:t>
      </w:r>
      <w:r>
        <w:rPr>
          <w:rFonts w:ascii="Times New Roman" w:hAnsi="Times New Roman" w:cs="Times New Roman"/>
          <w:b/>
          <w:sz w:val="24"/>
          <w:szCs w:val="24"/>
        </w:rPr>
        <w:t xml:space="preserve">и Документацию </w:t>
      </w:r>
      <w:r>
        <w:rPr>
          <w:rFonts w:ascii="Times New Roman" w:hAnsi="Times New Roman" w:cs="Times New Roman"/>
          <w:b/>
          <w:sz w:val="24"/>
          <w:szCs w:val="24"/>
        </w:rPr>
        <w:t xml:space="preserve">о продаже имущества АО «ДГК» посредством аукциона на повышение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на право заключения договора купли-продажи</w:t>
      </w:r>
      <w:r>
        <w:rPr>
          <w:rFonts w:ascii="Times New Roman" w:hAnsi="Times New Roman" w:cs="Times New Roman"/>
          <w:b/>
          <w:sz w:val="24"/>
          <w:szCs w:val="24"/>
        </w:rPr>
        <w:t xml:space="preserve"> н</w:t>
      </w:r>
      <w:r>
        <w:rPr>
          <w:rFonts w:ascii="Times New Roman" w:hAnsi="Times New Roman" w:cs="Times New Roman"/>
          <w:b/>
          <w:sz w:val="24"/>
          <w:szCs w:val="24"/>
        </w:rPr>
        <w:t xml:space="preserve">едвижимого имущества: первый подъезд жилого дома, расположенного по адресу: Российская Федерация, Хабаровский край, Советско-Гаванский муниципальный район, городское поселение «Город Советская Гавань», город Советская Гавань, улица Пионерская, дом 5А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jc w:val="center"/>
        <w:tabs>
          <w:tab w:val="left" w:pos="2694" w:leader="none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(далее – Извещение, Документация)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jc w:val="center"/>
        <w:rPr>
          <w:rStyle w:val="869"/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опубликованны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е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 на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Электронная торговая площадка Российский аукционный дом (ЭТП РАД)</w:t>
      </w:r>
      <w:r>
        <w:rPr>
          <w:rFonts w:ascii="Times New Roman" w:hAnsi="Times New Roman" w:cs="Times New Roman"/>
          <w:b/>
          <w:sz w:val="24"/>
          <w:szCs w:val="24"/>
        </w:rPr>
        <w:t xml:space="preserve"> в сети Интернет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11" w:tooltip="https://lot-online.ru/" w:history="1">
        <w:r>
          <w:rPr>
            <w:rStyle w:val="869"/>
            <w:rFonts w:ascii="Times New Roman" w:hAnsi="Times New Roman" w:cs="Times New Roman"/>
            <w:sz w:val="28"/>
            <w:szCs w:val="28"/>
          </w:rPr>
          <w:t xml:space="preserve">https://lot-online.ru/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869"/>
          <w:rFonts w:ascii="Times New Roman" w:hAnsi="Times New Roman" w:cs="Times New Roman"/>
          <w:b/>
          <w:sz w:val="24"/>
          <w:szCs w:val="24"/>
        </w:rPr>
      </w:r>
      <w:r>
        <w:rPr>
          <w:rStyle w:val="869"/>
          <w:rFonts w:ascii="Times New Roman" w:hAnsi="Times New Roman" w:cs="Times New Roman"/>
          <w:b/>
          <w:sz w:val="24"/>
          <w:szCs w:val="24"/>
        </w:rPr>
      </w:r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874"/>
        <w:numPr>
          <w:ilvl w:val="0"/>
          <w:numId w:val="5"/>
        </w:numPr>
        <w:ind w:right="57"/>
        <w:jc w:val="both"/>
        <w:spacing w:line="264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Внести следующие изменения в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п. 1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4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Извещения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и читать: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tbl>
      <w:tblPr>
        <w:tblW w:w="9498" w:type="dxa"/>
        <w:tblLayout w:type="fixed"/>
        <w:tblLook w:val="04A0" w:firstRow="1" w:lastRow="0" w:firstColumn="1" w:lastColumn="0" w:noHBand="0" w:noVBand="1"/>
      </w:tblPr>
      <w:tblGrid>
        <w:gridCol w:w="2781"/>
        <w:gridCol w:w="6717"/>
      </w:tblGrid>
      <w:tr>
        <w:tblPrEx/>
        <w:trPr/>
        <w:tc>
          <w:tcPr>
            <w:tcW w:w="2781" w:type="dxa"/>
            <w:textDirection w:val="lrTb"/>
            <w:noWrap w:val="false"/>
          </w:tcPr>
          <w:p>
            <w:pPr>
              <w:jc w:val="both"/>
              <w:spacing w:before="120" w:after="0" w:line="240" w:lineRule="auto"/>
              <w:widowControl w:val="off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Дата начала – дата и время окончания срока подачи Заявок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</w:p>
        </w:tc>
        <w:tc>
          <w:tcPr>
            <w:tcW w:w="6717" w:type="dxa"/>
            <w:textDirection w:val="lrTb"/>
            <w:noWrap w:val="false"/>
          </w:tcPr>
          <w:p>
            <w:pPr>
              <w:ind w:firstLine="507"/>
              <w:jc w:val="both"/>
              <w:spacing w:before="120"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Дата начала подачи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Заявок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ind w:left="507"/>
              <w:jc w:val="both"/>
              <w:spacing w:before="120" w:after="12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»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декабря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г.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ind w:left="507"/>
              <w:jc w:val="both"/>
              <w:spacing w:before="120"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ind w:left="507"/>
              <w:jc w:val="both"/>
              <w:spacing w:before="120" w:after="120" w:line="240" w:lineRule="auto"/>
              <w:widowControl w:val="off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апреля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202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г. в 17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ч. 00 мин.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(по местному времени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рганизатора)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</w:p>
        </w:tc>
      </w:tr>
    </w:tbl>
    <w:p>
      <w:pPr>
        <w:pStyle w:val="874"/>
        <w:ind w:left="76" w:right="57"/>
        <w:jc w:val="both"/>
        <w:spacing w:line="264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pStyle w:val="874"/>
        <w:numPr>
          <w:ilvl w:val="0"/>
          <w:numId w:val="5"/>
        </w:numPr>
        <w:jc w:val="both"/>
        <w:rPr>
          <w:rFonts w:ascii="Times New Roman" w:hAnsi="Times New Roman" w:eastAsia="Times New Roman" w:cs="Times New Roman"/>
          <w:b/>
          <w:bCs/>
          <w:i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Внести следующие изменения в п. 1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7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 Извещения 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и 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читать: </w:t>
      </w:r>
      <w:r>
        <w:rPr>
          <w:rFonts w:ascii="Times New Roman" w:hAnsi="Times New Roman" w:eastAsia="Times New Roman" w:cs="Times New Roman"/>
          <w:b/>
          <w:bCs/>
          <w:i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bCs/>
          <w:i/>
          <w:sz w:val="24"/>
          <w:szCs w:val="24"/>
          <w:lang w:eastAsia="ru-RU"/>
        </w:rPr>
      </w:r>
    </w:p>
    <w:tbl>
      <w:tblPr>
        <w:tblW w:w="9498" w:type="dxa"/>
        <w:tblLayout w:type="fixed"/>
        <w:tblLook w:val="04A0" w:firstRow="1" w:lastRow="0" w:firstColumn="1" w:lastColumn="0" w:noHBand="0" w:noVBand="1"/>
      </w:tblPr>
      <w:tblGrid>
        <w:gridCol w:w="2835"/>
        <w:gridCol w:w="6663"/>
      </w:tblGrid>
      <w:tr>
        <w:tblPrEx/>
        <w:trPr>
          <w:trHeight w:val="89"/>
        </w:trPr>
        <w:tc>
          <w:tcPr>
            <w:tcW w:w="2835" w:type="dxa"/>
            <w:textDirection w:val="lrTb"/>
            <w:noWrap w:val="false"/>
          </w:tcPr>
          <w:p>
            <w:pPr>
              <w:spacing w:before="120"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Дата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и время проведения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before="120"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Аукциона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6663" w:type="dxa"/>
            <w:textDirection w:val="lrTb"/>
            <w:noWrap w:val="false"/>
          </w:tcPr>
          <w:p>
            <w:pPr>
              <w:ind w:left="462"/>
              <w:jc w:val="both"/>
              <w:spacing w:before="120" w:after="120" w:line="240" w:lineRule="auto"/>
              <w:widowControl w:val="off"/>
              <w:rPr>
                <w:rFonts w:ascii="Times New Roman" w:hAnsi="Times New Roman" w:eastAsia="Times New Roman" w:cs="Times New Roman"/>
                <w:i/>
                <w:sz w:val="24"/>
                <w:szCs w:val="24"/>
                <w:shd w:val="clear" w:color="auto" w:fill="ffff9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апреля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202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г. в 16 ч. 00 мин.  (по местному времени Организатора) 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shd w:val="clear" w:color="auto" w:fill="ffff9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shd w:val="clear" w:color="auto" w:fill="ffff99"/>
                <w:lang w:eastAsia="ru-RU"/>
              </w:rPr>
            </w:r>
          </w:p>
        </w:tc>
      </w:tr>
    </w:tbl>
    <w:p>
      <w:pPr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r>
    </w:p>
    <w:p>
      <w:pPr>
        <w:pStyle w:val="874"/>
        <w:numPr>
          <w:ilvl w:val="0"/>
          <w:numId w:val="5"/>
        </w:numPr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Внести следующие изменения в п. 18 Извещения и читать: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r>
    </w:p>
    <w:tbl>
      <w:tblPr>
        <w:tblW w:w="9498" w:type="dxa"/>
        <w:tblLayout w:type="fixed"/>
        <w:tblLook w:val="04A0" w:firstRow="1" w:lastRow="0" w:firstColumn="1" w:lastColumn="0" w:noHBand="0" w:noVBand="1"/>
      </w:tblPr>
      <w:tblGrid>
        <w:gridCol w:w="2835"/>
        <w:gridCol w:w="6663"/>
      </w:tblGrid>
      <w:tr>
        <w:tblPrEx/>
        <w:trPr>
          <w:trHeight w:val="89"/>
        </w:trPr>
        <w:tc>
          <w:tcPr>
            <w:tcW w:w="2835" w:type="dxa"/>
            <w:textDirection w:val="lrTb"/>
            <w:noWrap w:val="false"/>
          </w:tcPr>
          <w:p>
            <w:pPr>
              <w:spacing w:before="120"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Дата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подведения итогов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before="120"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Аукциона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6663" w:type="dxa"/>
            <w:textDirection w:val="lrTb"/>
            <w:noWrap w:val="false"/>
          </w:tcPr>
          <w:p>
            <w:pPr>
              <w:ind w:left="462"/>
              <w:jc w:val="both"/>
              <w:spacing w:before="120" w:after="120" w:line="240" w:lineRule="auto"/>
              <w:widowControl w:val="off"/>
              <w:rPr>
                <w:rFonts w:ascii="Times New Roman" w:hAnsi="Times New Roman" w:eastAsia="Times New Roman" w:cs="Times New Roman"/>
                <w:i/>
                <w:sz w:val="24"/>
                <w:szCs w:val="24"/>
                <w:shd w:val="clear" w:color="auto" w:fill="ffff9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»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апреля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2024 г. в 16 ч. 00 мин.  (по местному времени Организатора) 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shd w:val="clear" w:color="auto" w:fill="ffff9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shd w:val="clear" w:color="auto" w:fill="ffff99"/>
                <w:lang w:eastAsia="ru-RU"/>
              </w:rPr>
            </w:r>
          </w:p>
        </w:tc>
      </w:tr>
    </w:tbl>
    <w:p>
      <w:pPr>
        <w:pStyle w:val="874"/>
        <w:ind w:left="76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r>
    </w:p>
    <w:p>
      <w:pPr>
        <w:ind w:left="-284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4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Внести следующие изменения в п. 1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.2.1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4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Документации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 и читать: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r>
    </w:p>
    <w:tbl>
      <w:tblPr>
        <w:tblW w:w="9496" w:type="dxa"/>
        <w:tblLayout w:type="fixed"/>
        <w:tblLook w:val="0000" w:firstRow="0" w:lastRow="0" w:firstColumn="0" w:lastColumn="0" w:noHBand="0" w:noVBand="0"/>
      </w:tblPr>
      <w:tblGrid>
        <w:gridCol w:w="2977"/>
        <w:gridCol w:w="6519"/>
      </w:tblGrid>
      <w:tr>
        <w:tblPrEx/>
        <w:trPr>
          <w:trHeight w:val="841"/>
        </w:trPr>
        <w:tc>
          <w:tcPr>
            <w:tcW w:w="2977" w:type="dxa"/>
            <w:textDirection w:val="lrTb"/>
            <w:noWrap w:val="false"/>
          </w:tcPr>
          <w:p>
            <w:pPr>
              <w:spacing w:before="12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Срок предоставления Заявителям разъяснений по Документации о продаже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6519" w:type="dxa"/>
            <w:textDirection w:val="lrTb"/>
            <w:noWrap w:val="false"/>
          </w:tcPr>
          <w:p>
            <w:pPr>
              <w:ind w:left="325"/>
              <w:jc w:val="both"/>
              <w:spacing w:before="12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Дата и время окончания срока предоставления разъяснений: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ind w:left="325"/>
              <w:jc w:val="both"/>
              <w:spacing w:before="120" w:after="0" w:line="240" w:lineRule="auto"/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»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апреля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202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г. в 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ч. 00 мин. 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</w:r>
          </w:p>
          <w:p>
            <w:pPr>
              <w:ind w:left="325"/>
              <w:jc w:val="both"/>
              <w:spacing w:before="120" w:after="0" w:line="240" w:lineRule="auto"/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  <w:shd w:val="clear" w:color="auto" w:fill="ffff9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Организатор вправе не предоставлять разъяснение в случае, если запрос от Заявителя поступил позднее чем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 3 (три) рабочих дня до даты окончания срока подачи заявок, установленной в пункте 1.2.1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  <w:shd w:val="clear" w:color="auto" w:fill="ffff9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  <w:shd w:val="clear" w:color="auto" w:fill="ffff99"/>
                <w:lang w:eastAsia="ru-RU"/>
              </w:rPr>
            </w:r>
          </w:p>
        </w:tc>
      </w:tr>
    </w:tbl>
    <w:p>
      <w:pPr>
        <w:ind w:left="-284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4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. Внести следующие изменения в п. 1.2.1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5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 Документации и читать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: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r>
    </w:p>
    <w:tbl>
      <w:tblPr>
        <w:tblW w:w="9496" w:type="dxa"/>
        <w:tblLayout w:type="fixed"/>
        <w:tblLook w:val="0000" w:firstRow="0" w:lastRow="0" w:firstColumn="0" w:lastColumn="0" w:noHBand="0" w:noVBand="0"/>
      </w:tblPr>
      <w:tblGrid>
        <w:gridCol w:w="2930"/>
        <w:gridCol w:w="6566"/>
      </w:tblGrid>
      <w:tr>
        <w:tblPrEx/>
        <w:trPr/>
        <w:tc>
          <w:tcPr>
            <w:tcW w:w="2930" w:type="dxa"/>
            <w:textDirection w:val="lrTb"/>
            <w:noWrap w:val="false"/>
          </w:tcPr>
          <w:p>
            <w:pPr>
              <w:spacing w:before="12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Дата начала – дата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и время окончания срока подачи З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аявок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6566" w:type="dxa"/>
            <w:textDirection w:val="lrTb"/>
            <w:noWrap w:val="false"/>
          </w:tcPr>
          <w:p>
            <w:pPr>
              <w:ind w:left="357" w:right="36"/>
              <w:jc w:val="both"/>
              <w:spacing w:before="120" w:after="12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Дата начала подачи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аявок: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ind w:left="357" w:right="36"/>
              <w:jc w:val="both"/>
              <w:spacing w:before="120" w:after="12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»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декабря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202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г. 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ind w:left="357" w:right="36"/>
              <w:jc w:val="both"/>
              <w:spacing w:before="120" w:after="12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ind w:left="357" w:right="36"/>
              <w:jc w:val="both"/>
              <w:spacing w:before="120" w:after="12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апреля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202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г. в 17 ч. 00 мин.  (по местному времени Организатора)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ind w:left="499" w:right="36"/>
              <w:jc w:val="both"/>
              <w:spacing w:before="120" w:after="12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</w:tbl>
    <w:p>
      <w:pPr>
        <w:ind w:left="-284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5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. Внести следующие изменения в п. 1.2.1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6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 Документации и читать: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r>
    </w:p>
    <w:tbl>
      <w:tblPr>
        <w:tblW w:w="9496" w:type="dxa"/>
        <w:tblLayout w:type="fixed"/>
        <w:tblLook w:val="0000" w:firstRow="0" w:lastRow="0" w:firstColumn="0" w:lastColumn="0" w:noHBand="0" w:noVBand="0"/>
      </w:tblPr>
      <w:tblGrid>
        <w:gridCol w:w="2930"/>
        <w:gridCol w:w="6566"/>
      </w:tblGrid>
      <w:tr>
        <w:tblPrEx/>
        <w:trPr/>
        <w:tc>
          <w:tcPr>
            <w:tcW w:w="2930" w:type="dxa"/>
            <w:textDirection w:val="lrTb"/>
            <w:noWrap w:val="false"/>
          </w:tcPr>
          <w:p>
            <w:pPr>
              <w:spacing w:before="12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Дата окончания рассмотрения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аявок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6566" w:type="dxa"/>
            <w:textDirection w:val="lrTb"/>
            <w:noWrap w:val="false"/>
          </w:tcPr>
          <w:p>
            <w:pPr>
              <w:ind w:left="357"/>
              <w:jc w:val="both"/>
              <w:spacing w:before="12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Дата окончания рассмотрения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аявок: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ind w:left="357"/>
              <w:jc w:val="both"/>
              <w:spacing w:before="120" w:after="12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»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апрел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202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г.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spacing w:before="120" w:after="12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</w:tbl>
    <w:p>
      <w:pPr>
        <w:ind w:left="-284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6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. Внести следующие изменения в п. 1.2.1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7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 Документации и читать: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r>
    </w:p>
    <w:tbl>
      <w:tblPr>
        <w:tblW w:w="9496" w:type="dxa"/>
        <w:tblLayout w:type="fixed"/>
        <w:tblLook w:val="0000" w:firstRow="0" w:lastRow="0" w:firstColumn="0" w:lastColumn="0" w:noHBand="0" w:noVBand="0"/>
      </w:tblPr>
      <w:tblGrid>
        <w:gridCol w:w="2930"/>
        <w:gridCol w:w="6566"/>
      </w:tblGrid>
      <w:tr>
        <w:tblPrEx/>
        <w:trPr/>
        <w:tc>
          <w:tcPr>
            <w:tcW w:w="2930" w:type="dxa"/>
            <w:textDirection w:val="lrTb"/>
            <w:noWrap w:val="false"/>
          </w:tcPr>
          <w:p>
            <w:pPr>
              <w:spacing w:before="12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Дата и время проведения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укциона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6566" w:type="dxa"/>
            <w:textDirection w:val="lrTb"/>
            <w:noWrap w:val="false"/>
          </w:tcPr>
          <w:p>
            <w:pPr>
              <w:ind w:left="357"/>
              <w:jc w:val="both"/>
              <w:spacing w:before="120" w:after="12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Дата и время проведения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укциона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ind w:left="357"/>
              <w:jc w:val="both"/>
              <w:spacing w:before="120" w:after="12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апреля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202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г. в 16 ч. 00 мин. (по местному времени Организатора)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spacing w:before="120" w:after="12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</w:tbl>
    <w:p>
      <w:pPr>
        <w:ind w:left="-284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7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. Внест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и следующие изменения в п. 1.2.18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 Документации и читать: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r>
    </w:p>
    <w:tbl>
      <w:tblPr>
        <w:tblW w:w="9496" w:type="dxa"/>
        <w:tblLayout w:type="fixed"/>
        <w:tblLook w:val="0000" w:firstRow="0" w:lastRow="0" w:firstColumn="0" w:lastColumn="0" w:noHBand="0" w:noVBand="0"/>
      </w:tblPr>
      <w:tblGrid>
        <w:gridCol w:w="2977"/>
        <w:gridCol w:w="6519"/>
      </w:tblGrid>
      <w:tr>
        <w:tblPrEx/>
        <w:trPr>
          <w:trHeight w:val="737"/>
        </w:trPr>
        <w:tc>
          <w:tcPr>
            <w:tcW w:w="2977" w:type="dxa"/>
            <w:textDirection w:val="lrTb"/>
            <w:noWrap w:val="false"/>
          </w:tcPr>
          <w:p>
            <w:pPr>
              <w:ind w:left="38"/>
              <w:spacing w:before="12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Дата подведения итогов 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6519" w:type="dxa"/>
            <w:textDirection w:val="lrTb"/>
            <w:noWrap w:val="false"/>
          </w:tcPr>
          <w:p>
            <w:pPr>
              <w:ind w:left="312"/>
              <w:jc w:val="both"/>
              <w:spacing w:before="12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Дата подведения итогов: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ind w:left="312"/>
              <w:jc w:val="both"/>
              <w:spacing w:before="120"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»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апреля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202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г.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</w:tr>
    </w:tbl>
    <w:p>
      <w:pPr>
        <w:ind w:left="-284"/>
        <w:jc w:val="both"/>
        <w:rPr>
          <w:rFonts w:ascii="TimesNewRoman,Bold" w:hAnsi="TimesNewRoman,Bold" w:eastAsia="Times New Roman" w:cs="TimesNewRoman,Bold"/>
          <w:bCs/>
          <w:sz w:val="24"/>
          <w:szCs w:val="24"/>
          <w:lang w:eastAsia="ru-RU"/>
        </w:rPr>
      </w:pPr>
      <w:r>
        <w:rPr>
          <w:rFonts w:ascii="TimesNewRoman,Bold" w:hAnsi="TimesNewRoman,Bold" w:eastAsia="Times New Roman" w:cs="TimesNewRoman,Bold"/>
          <w:bCs/>
          <w:sz w:val="24"/>
          <w:szCs w:val="24"/>
          <w:lang w:eastAsia="ru-RU"/>
        </w:rPr>
      </w:r>
      <w:r>
        <w:rPr>
          <w:rFonts w:ascii="TimesNewRoman,Bold" w:hAnsi="TimesNewRoman,Bold" w:eastAsia="Times New Roman" w:cs="TimesNewRoman,Bold"/>
          <w:bCs/>
          <w:sz w:val="24"/>
          <w:szCs w:val="24"/>
          <w:lang w:eastAsia="ru-RU"/>
        </w:rPr>
      </w:r>
      <w:r>
        <w:rPr>
          <w:rFonts w:ascii="TimesNewRoman,Bold" w:hAnsi="TimesNewRoman,Bold" w:eastAsia="Times New Roman" w:cs="TimesNewRoman,Bold"/>
          <w:bCs/>
          <w:sz w:val="24"/>
          <w:szCs w:val="24"/>
          <w:lang w:eastAsia="ru-RU"/>
        </w:rPr>
      </w:r>
    </w:p>
    <w:p>
      <w:pPr>
        <w:ind w:left="-284"/>
        <w:jc w:val="both"/>
        <w:rPr>
          <w:rFonts w:ascii="TimesNewRoman,Bold" w:hAnsi="TimesNewRoman,Bold" w:eastAsia="Times New Roman" w:cs="TimesNewRoman,Bold"/>
          <w:bCs/>
          <w:sz w:val="24"/>
          <w:szCs w:val="24"/>
          <w:lang w:eastAsia="ru-RU"/>
        </w:rPr>
      </w:pPr>
      <w:r>
        <w:rPr>
          <w:rFonts w:ascii="TimesNewRoman,Bold" w:hAnsi="TimesNewRoman,Bold" w:eastAsia="Times New Roman" w:cs="TimesNewRoman,Bold"/>
          <w:bCs/>
          <w:sz w:val="24"/>
          <w:szCs w:val="24"/>
          <w:lang w:eastAsia="ru-RU"/>
        </w:rPr>
      </w:r>
      <w:r>
        <w:rPr>
          <w:rFonts w:ascii="TimesNewRoman,Bold" w:hAnsi="TimesNewRoman,Bold" w:eastAsia="Times New Roman" w:cs="TimesNewRoman,Bold"/>
          <w:bCs/>
          <w:sz w:val="24"/>
          <w:szCs w:val="24"/>
          <w:lang w:eastAsia="ru-RU"/>
        </w:rPr>
      </w:r>
      <w:r>
        <w:rPr>
          <w:rFonts w:ascii="TimesNewRoman,Bold" w:hAnsi="TimesNewRoman,Bold" w:eastAsia="Times New Roman" w:cs="TimesNewRoman,Bold"/>
          <w:bCs/>
          <w:sz w:val="24"/>
          <w:szCs w:val="24"/>
          <w:lang w:eastAsia="ru-RU"/>
        </w:rPr>
      </w:r>
    </w:p>
    <w:p>
      <w:pPr>
        <w:ind w:left="-284"/>
        <w:jc w:val="both"/>
        <w:rPr>
          <w:rFonts w:ascii="TimesNewRoman,Bold" w:hAnsi="TimesNewRoman,Bold" w:eastAsia="Times New Roman" w:cs="TimesNewRoman,Bold"/>
          <w:bCs/>
          <w:sz w:val="24"/>
          <w:szCs w:val="24"/>
          <w:lang w:eastAsia="ru-RU"/>
        </w:rPr>
      </w:pPr>
      <w:r>
        <w:rPr>
          <w:rFonts w:ascii="TimesNewRoman,Bold" w:hAnsi="TimesNewRoman,Bold" w:eastAsia="Times New Roman" w:cs="TimesNewRoman,Bold"/>
          <w:bCs/>
          <w:sz w:val="24"/>
          <w:szCs w:val="24"/>
          <w:lang w:eastAsia="ru-RU"/>
        </w:rPr>
      </w:r>
      <w:r>
        <w:rPr>
          <w:rFonts w:ascii="TimesNewRoman,Bold" w:hAnsi="TimesNewRoman,Bold" w:eastAsia="Times New Roman" w:cs="TimesNewRoman,Bold"/>
          <w:bCs/>
          <w:sz w:val="24"/>
          <w:szCs w:val="24"/>
          <w:lang w:eastAsia="ru-RU"/>
        </w:rPr>
      </w:r>
      <w:r>
        <w:rPr>
          <w:rFonts w:ascii="TimesNewRoman,Bold" w:hAnsi="TimesNewRoman,Bold" w:eastAsia="Times New Roman" w:cs="TimesNewRoman,Bold"/>
          <w:bCs/>
          <w:sz w:val="24"/>
          <w:szCs w:val="24"/>
          <w:lang w:eastAsia="ru-RU"/>
        </w:rPr>
      </w:r>
    </w:p>
    <w:p>
      <w:pPr>
        <w:ind w:left="-284"/>
        <w:jc w:val="both"/>
        <w:rPr>
          <w:rFonts w:ascii="TimesNewRoman,Bold" w:hAnsi="TimesNewRoman,Bold" w:eastAsia="Times New Roman" w:cs="TimesNewRoman,Bold"/>
          <w:bCs/>
          <w:sz w:val="24"/>
          <w:szCs w:val="24"/>
          <w:lang w:eastAsia="ru-RU"/>
        </w:rPr>
      </w:pPr>
      <w:r>
        <w:rPr>
          <w:rFonts w:ascii="TimesNewRoman,Bold" w:hAnsi="TimesNewRoman,Bold" w:eastAsia="Times New Roman" w:cs="TimesNewRoman,Bold"/>
          <w:bCs/>
          <w:sz w:val="24"/>
          <w:szCs w:val="24"/>
          <w:lang w:eastAsia="ru-RU"/>
        </w:rPr>
      </w:r>
      <w:r>
        <w:rPr>
          <w:rFonts w:ascii="TimesNewRoman,Bold" w:hAnsi="TimesNewRoman,Bold" w:eastAsia="Times New Roman" w:cs="TimesNewRoman,Bold"/>
          <w:bCs/>
          <w:sz w:val="24"/>
          <w:szCs w:val="24"/>
          <w:lang w:eastAsia="ru-RU"/>
        </w:rPr>
      </w:r>
      <w:r>
        <w:rPr>
          <w:rFonts w:ascii="TimesNewRoman,Bold" w:hAnsi="TimesNewRoman,Bold" w:eastAsia="Times New Roman" w:cs="TimesNewRoman,Bold"/>
          <w:bCs/>
          <w:sz w:val="24"/>
          <w:szCs w:val="24"/>
          <w:lang w:eastAsia="ru-RU"/>
        </w:rPr>
      </w:r>
    </w:p>
    <w:p>
      <w:pPr>
        <w:ind w:left="-284"/>
        <w:jc w:val="both"/>
        <w:rPr>
          <w:rFonts w:ascii="TimesNewRoman,Bold" w:hAnsi="TimesNewRoman,Bold" w:eastAsia="Times New Roman" w:cs="TimesNewRoman,Bold"/>
          <w:bCs/>
          <w:sz w:val="24"/>
          <w:szCs w:val="24"/>
          <w:lang w:eastAsia="ru-RU"/>
        </w:rPr>
      </w:pPr>
      <w:r>
        <w:rPr>
          <w:rFonts w:ascii="TimesNewRoman,Bold" w:hAnsi="TimesNewRoman,Bold" w:eastAsia="Times New Roman" w:cs="TimesNewRoman,Bold"/>
          <w:bCs/>
          <w:sz w:val="24"/>
          <w:szCs w:val="24"/>
          <w:lang w:eastAsia="ru-RU"/>
        </w:rPr>
      </w:r>
      <w:r>
        <w:rPr>
          <w:rFonts w:ascii="TimesNewRoman,Bold" w:hAnsi="TimesNewRoman,Bold" w:eastAsia="Times New Roman" w:cs="TimesNewRoman,Bold"/>
          <w:bCs/>
          <w:sz w:val="24"/>
          <w:szCs w:val="24"/>
          <w:lang w:eastAsia="ru-RU"/>
        </w:rPr>
      </w:r>
      <w:r>
        <w:rPr>
          <w:rFonts w:ascii="TimesNewRoman,Bold" w:hAnsi="TimesNewRoman,Bold" w:eastAsia="Times New Roman" w:cs="TimesNewRoman,Bold"/>
          <w:bCs/>
          <w:sz w:val="24"/>
          <w:szCs w:val="24"/>
          <w:lang w:eastAsia="ru-RU"/>
        </w:rPr>
      </w:r>
    </w:p>
    <w:p>
      <w:pPr>
        <w:ind w:left="-284"/>
        <w:jc w:val="both"/>
        <w:rPr>
          <w:rFonts w:ascii="TimesNewRoman,Bold" w:hAnsi="TimesNewRoman,Bold" w:eastAsia="Times New Roman" w:cs="TimesNewRoman,Bold"/>
          <w:bCs/>
          <w:sz w:val="24"/>
          <w:szCs w:val="24"/>
          <w:lang w:eastAsia="ru-RU"/>
        </w:rPr>
      </w:pPr>
      <w:r>
        <w:rPr>
          <w:rFonts w:ascii="TimesNewRoman,Bold" w:hAnsi="TimesNewRoman,Bold" w:eastAsia="Times New Roman" w:cs="TimesNewRoman,Bold"/>
          <w:bCs/>
          <w:sz w:val="24"/>
          <w:szCs w:val="24"/>
          <w:lang w:eastAsia="ru-RU"/>
        </w:rPr>
      </w:r>
      <w:r>
        <w:rPr>
          <w:rFonts w:ascii="TimesNewRoman,Bold" w:hAnsi="TimesNewRoman,Bold" w:eastAsia="Times New Roman" w:cs="TimesNewRoman,Bold"/>
          <w:bCs/>
          <w:sz w:val="24"/>
          <w:szCs w:val="24"/>
          <w:lang w:eastAsia="ru-RU"/>
        </w:rPr>
      </w:r>
      <w:r>
        <w:rPr>
          <w:rFonts w:ascii="TimesNewRoman,Bold" w:hAnsi="TimesNewRoman,Bold" w:eastAsia="Times New Roman" w:cs="TimesNewRoman,Bold"/>
          <w:bCs/>
          <w:sz w:val="24"/>
          <w:szCs w:val="24"/>
          <w:lang w:eastAsia="ru-RU"/>
        </w:rPr>
      </w:r>
    </w:p>
    <w:p>
      <w:pPr>
        <w:ind w:left="-284"/>
        <w:jc w:val="both"/>
        <w:rPr>
          <w:rFonts w:ascii="TimesNewRoman,Bold" w:hAnsi="TimesNewRoman,Bold" w:eastAsia="Times New Roman" w:cs="TimesNewRoman,Bold"/>
          <w:bCs/>
          <w:sz w:val="24"/>
          <w:szCs w:val="24"/>
          <w:lang w:eastAsia="ru-RU"/>
        </w:rPr>
      </w:pPr>
      <w:r>
        <w:rPr>
          <w:rFonts w:ascii="TimesNewRoman,Bold" w:hAnsi="TimesNewRoman,Bold" w:eastAsia="Times New Roman" w:cs="TimesNewRoman,Bold"/>
          <w:bCs/>
          <w:sz w:val="24"/>
          <w:szCs w:val="24"/>
          <w:lang w:eastAsia="ru-RU"/>
        </w:rPr>
      </w:r>
      <w:r>
        <w:rPr>
          <w:rFonts w:ascii="TimesNewRoman,Bold" w:hAnsi="TimesNewRoman,Bold" w:eastAsia="Times New Roman" w:cs="TimesNewRoman,Bold"/>
          <w:bCs/>
          <w:sz w:val="24"/>
          <w:szCs w:val="24"/>
          <w:lang w:eastAsia="ru-RU"/>
        </w:rPr>
      </w:r>
      <w:r>
        <w:rPr>
          <w:rFonts w:ascii="TimesNewRoman,Bold" w:hAnsi="TimesNewRoman,Bold" w:eastAsia="Times New Roman" w:cs="TimesNewRoman,Bold"/>
          <w:bCs/>
          <w:sz w:val="24"/>
          <w:szCs w:val="24"/>
          <w:lang w:eastAsia="ru-RU"/>
        </w:rPr>
      </w:r>
    </w:p>
    <w:p>
      <w:pPr>
        <w:ind w:left="-284"/>
        <w:jc w:val="both"/>
        <w:rPr>
          <w:rFonts w:ascii="TimesNewRoman,Bold" w:hAnsi="TimesNewRoman,Bold" w:eastAsia="Times New Roman" w:cs="TimesNewRoman,Bold"/>
          <w:bCs/>
          <w:sz w:val="24"/>
          <w:szCs w:val="24"/>
          <w:lang w:eastAsia="ru-RU"/>
        </w:rPr>
      </w:pPr>
      <w:r>
        <w:rPr>
          <w:rFonts w:ascii="TimesNewRoman,Bold" w:hAnsi="TimesNewRoman,Bold" w:eastAsia="Times New Roman" w:cs="TimesNewRoman,Bold"/>
          <w:bCs/>
          <w:sz w:val="24"/>
          <w:szCs w:val="24"/>
          <w:lang w:eastAsia="ru-RU"/>
        </w:rPr>
      </w:r>
      <w:r>
        <w:rPr>
          <w:rFonts w:ascii="TimesNewRoman,Bold" w:hAnsi="TimesNewRoman,Bold" w:eastAsia="Times New Roman" w:cs="TimesNewRoman,Bold"/>
          <w:bCs/>
          <w:sz w:val="24"/>
          <w:szCs w:val="24"/>
          <w:lang w:eastAsia="ru-RU"/>
        </w:rPr>
      </w:r>
      <w:r>
        <w:rPr>
          <w:rFonts w:ascii="TimesNewRoman,Bold" w:hAnsi="TimesNewRoman,Bold" w:eastAsia="Times New Roman" w:cs="TimesNewRoman,Bold"/>
          <w:bCs/>
          <w:sz w:val="24"/>
          <w:szCs w:val="24"/>
          <w:lang w:eastAsia="ru-RU"/>
        </w:rPr>
      </w:r>
    </w:p>
    <w:p>
      <w:pPr>
        <w:ind w:left="-284"/>
        <w:jc w:val="both"/>
        <w:rPr>
          <w:rFonts w:ascii="TimesNewRoman,Bold" w:hAnsi="TimesNewRoman,Bold" w:eastAsia="Times New Roman" w:cs="TimesNewRoman,Bold"/>
          <w:bCs/>
          <w:sz w:val="24"/>
          <w:szCs w:val="24"/>
          <w:lang w:eastAsia="ru-RU"/>
        </w:rPr>
      </w:pPr>
      <w:r>
        <w:rPr>
          <w:rFonts w:ascii="TimesNewRoman,Bold" w:hAnsi="TimesNewRoman,Bold" w:eastAsia="Times New Roman" w:cs="TimesNewRoman,Bold"/>
          <w:bCs/>
          <w:sz w:val="24"/>
          <w:szCs w:val="24"/>
          <w:lang w:eastAsia="ru-RU"/>
        </w:rPr>
      </w:r>
      <w:r>
        <w:rPr>
          <w:rFonts w:ascii="TimesNewRoman,Bold" w:hAnsi="TimesNewRoman,Bold" w:eastAsia="Times New Roman" w:cs="TimesNewRoman,Bold"/>
          <w:bCs/>
          <w:sz w:val="24"/>
          <w:szCs w:val="24"/>
          <w:lang w:eastAsia="ru-RU"/>
        </w:rPr>
      </w:r>
      <w:r>
        <w:rPr>
          <w:rFonts w:ascii="TimesNewRoman,Bold" w:hAnsi="TimesNewRoman,Bold" w:eastAsia="Times New Roman" w:cs="TimesNewRoman,Bold"/>
          <w:bCs/>
          <w:sz w:val="24"/>
          <w:szCs w:val="24"/>
          <w:lang w:eastAsia="ru-RU"/>
        </w:rPr>
      </w:r>
    </w:p>
    <w:p>
      <w:pPr>
        <w:ind w:left="-284"/>
        <w:jc w:val="both"/>
        <w:rPr>
          <w:rFonts w:ascii="TimesNewRoman,Bold" w:hAnsi="TimesNewRoman,Bold" w:eastAsia="Times New Roman" w:cs="TimesNewRoman,Bold"/>
          <w:bCs/>
          <w:sz w:val="24"/>
          <w:szCs w:val="24"/>
          <w:lang w:eastAsia="ru-RU"/>
        </w:rPr>
      </w:pPr>
      <w:r>
        <w:rPr>
          <w:rFonts w:ascii="TimesNewRoman,Bold" w:hAnsi="TimesNewRoman,Bold" w:eastAsia="Times New Roman" w:cs="TimesNewRoman,Bold"/>
          <w:bCs/>
          <w:sz w:val="24"/>
          <w:szCs w:val="24"/>
          <w:lang w:eastAsia="ru-RU"/>
        </w:rPr>
      </w:r>
      <w:r>
        <w:rPr>
          <w:rFonts w:ascii="TimesNewRoman,Bold" w:hAnsi="TimesNewRoman,Bold" w:eastAsia="Times New Roman" w:cs="TimesNewRoman,Bold"/>
          <w:bCs/>
          <w:sz w:val="24"/>
          <w:szCs w:val="24"/>
          <w:lang w:eastAsia="ru-RU"/>
        </w:rPr>
      </w:r>
      <w:r>
        <w:rPr>
          <w:rFonts w:ascii="TimesNewRoman,Bold" w:hAnsi="TimesNewRoman,Bold" w:eastAsia="Times New Roman" w:cs="TimesNewRoman,Bold"/>
          <w:bCs/>
          <w:sz w:val="24"/>
          <w:szCs w:val="24"/>
          <w:lang w:eastAsia="ru-RU"/>
        </w:rPr>
      </w:r>
    </w:p>
    <w:sectPr>
      <w:footerReference w:type="default" r:id="rId9"/>
      <w:footnotePr/>
      <w:endnotePr/>
      <w:type w:val="nextPage"/>
      <w:pgSz w:w="11906" w:h="16838" w:orient="portrait"/>
      <w:pgMar w:top="851" w:right="851" w:bottom="851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NewRoman,Bold">
    <w:panose1 w:val="00000500000000000000"/>
  </w:font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Segoe UI">
    <w:panose1 w:val="020B0503020203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2002197924"/>
      <w:docPartObj>
        <w:docPartGallery w:val="Page Numbers (Bottom of Page)"/>
        <w:docPartUnique w:val="true"/>
      </w:docPartObj>
      <w:rPr/>
    </w:sdtPr>
    <w:sdtContent>
      <w:p>
        <w:pPr>
          <w:pStyle w:val="882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2</w:t>
        </w:r>
        <w:r>
          <w:fldChar w:fldCharType="end"/>
        </w:r>
        <w:r/>
      </w:p>
    </w:sdtContent>
  </w:sdt>
  <w:p>
    <w:pPr>
      <w:pStyle w:val="882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6" w:hanging="360"/>
      </w:pPr>
      <w:rPr>
        <w:rFonts w:hint="default"/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79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51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23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295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67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39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11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5836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632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704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776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848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920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992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1064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11366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0">
    <w:name w:val="Heading 1"/>
    <w:basedOn w:val="863"/>
    <w:next w:val="863"/>
    <w:link w:val="69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1">
    <w:name w:val="Heading 1 Char"/>
    <w:basedOn w:val="864"/>
    <w:link w:val="690"/>
    <w:uiPriority w:val="9"/>
    <w:rPr>
      <w:rFonts w:ascii="Arial" w:hAnsi="Arial" w:eastAsia="Arial" w:cs="Arial"/>
      <w:sz w:val="40"/>
      <w:szCs w:val="40"/>
    </w:rPr>
  </w:style>
  <w:style w:type="paragraph" w:styleId="692">
    <w:name w:val="Heading 2"/>
    <w:basedOn w:val="863"/>
    <w:next w:val="863"/>
    <w:link w:val="69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3">
    <w:name w:val="Heading 2 Char"/>
    <w:basedOn w:val="864"/>
    <w:link w:val="692"/>
    <w:uiPriority w:val="9"/>
    <w:rPr>
      <w:rFonts w:ascii="Arial" w:hAnsi="Arial" w:eastAsia="Arial" w:cs="Arial"/>
      <w:sz w:val="34"/>
    </w:rPr>
  </w:style>
  <w:style w:type="paragraph" w:styleId="694">
    <w:name w:val="Heading 3"/>
    <w:basedOn w:val="863"/>
    <w:next w:val="863"/>
    <w:link w:val="69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5">
    <w:name w:val="Heading 3 Char"/>
    <w:basedOn w:val="864"/>
    <w:link w:val="694"/>
    <w:uiPriority w:val="9"/>
    <w:rPr>
      <w:rFonts w:ascii="Arial" w:hAnsi="Arial" w:eastAsia="Arial" w:cs="Arial"/>
      <w:sz w:val="30"/>
      <w:szCs w:val="30"/>
    </w:rPr>
  </w:style>
  <w:style w:type="paragraph" w:styleId="696">
    <w:name w:val="Heading 4"/>
    <w:basedOn w:val="863"/>
    <w:next w:val="863"/>
    <w:link w:val="69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7">
    <w:name w:val="Heading 4 Char"/>
    <w:basedOn w:val="864"/>
    <w:link w:val="696"/>
    <w:uiPriority w:val="9"/>
    <w:rPr>
      <w:rFonts w:ascii="Arial" w:hAnsi="Arial" w:eastAsia="Arial" w:cs="Arial"/>
      <w:b/>
      <w:bCs/>
      <w:sz w:val="26"/>
      <w:szCs w:val="26"/>
    </w:rPr>
  </w:style>
  <w:style w:type="paragraph" w:styleId="698">
    <w:name w:val="Heading 5"/>
    <w:basedOn w:val="863"/>
    <w:next w:val="863"/>
    <w:link w:val="69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9">
    <w:name w:val="Heading 5 Char"/>
    <w:basedOn w:val="864"/>
    <w:link w:val="698"/>
    <w:uiPriority w:val="9"/>
    <w:rPr>
      <w:rFonts w:ascii="Arial" w:hAnsi="Arial" w:eastAsia="Arial" w:cs="Arial"/>
      <w:b/>
      <w:bCs/>
      <w:sz w:val="24"/>
      <w:szCs w:val="24"/>
    </w:rPr>
  </w:style>
  <w:style w:type="paragraph" w:styleId="700">
    <w:name w:val="Heading 6"/>
    <w:basedOn w:val="863"/>
    <w:next w:val="863"/>
    <w:link w:val="70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1">
    <w:name w:val="Heading 6 Char"/>
    <w:basedOn w:val="864"/>
    <w:link w:val="700"/>
    <w:uiPriority w:val="9"/>
    <w:rPr>
      <w:rFonts w:ascii="Arial" w:hAnsi="Arial" w:eastAsia="Arial" w:cs="Arial"/>
      <w:b/>
      <w:bCs/>
      <w:sz w:val="22"/>
      <w:szCs w:val="22"/>
    </w:rPr>
  </w:style>
  <w:style w:type="paragraph" w:styleId="702">
    <w:name w:val="Heading 7"/>
    <w:basedOn w:val="863"/>
    <w:next w:val="863"/>
    <w:link w:val="70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3">
    <w:name w:val="Heading 7 Char"/>
    <w:basedOn w:val="864"/>
    <w:link w:val="70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4">
    <w:name w:val="Heading 8"/>
    <w:basedOn w:val="863"/>
    <w:next w:val="863"/>
    <w:link w:val="70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5">
    <w:name w:val="Heading 8 Char"/>
    <w:basedOn w:val="864"/>
    <w:link w:val="704"/>
    <w:uiPriority w:val="9"/>
    <w:rPr>
      <w:rFonts w:ascii="Arial" w:hAnsi="Arial" w:eastAsia="Arial" w:cs="Arial"/>
      <w:i/>
      <w:iCs/>
      <w:sz w:val="22"/>
      <w:szCs w:val="22"/>
    </w:rPr>
  </w:style>
  <w:style w:type="paragraph" w:styleId="706">
    <w:name w:val="Heading 9"/>
    <w:basedOn w:val="863"/>
    <w:next w:val="863"/>
    <w:link w:val="70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7">
    <w:name w:val="Heading 9 Char"/>
    <w:basedOn w:val="864"/>
    <w:link w:val="706"/>
    <w:uiPriority w:val="9"/>
    <w:rPr>
      <w:rFonts w:ascii="Arial" w:hAnsi="Arial" w:eastAsia="Arial" w:cs="Arial"/>
      <w:i/>
      <w:iCs/>
      <w:sz w:val="21"/>
      <w:szCs w:val="21"/>
    </w:rPr>
  </w:style>
  <w:style w:type="paragraph" w:styleId="708">
    <w:name w:val="No Spacing"/>
    <w:uiPriority w:val="1"/>
    <w:qFormat/>
    <w:pPr>
      <w:spacing w:before="0" w:after="0" w:line="240" w:lineRule="auto"/>
    </w:pPr>
  </w:style>
  <w:style w:type="paragraph" w:styleId="709">
    <w:name w:val="Title"/>
    <w:basedOn w:val="863"/>
    <w:next w:val="863"/>
    <w:link w:val="71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0">
    <w:name w:val="Title Char"/>
    <w:basedOn w:val="864"/>
    <w:link w:val="709"/>
    <w:uiPriority w:val="10"/>
    <w:rPr>
      <w:sz w:val="48"/>
      <w:szCs w:val="48"/>
    </w:rPr>
  </w:style>
  <w:style w:type="paragraph" w:styleId="711">
    <w:name w:val="Subtitle"/>
    <w:basedOn w:val="863"/>
    <w:next w:val="863"/>
    <w:link w:val="712"/>
    <w:uiPriority w:val="11"/>
    <w:qFormat/>
    <w:pPr>
      <w:spacing w:before="200" w:after="200"/>
    </w:pPr>
    <w:rPr>
      <w:sz w:val="24"/>
      <w:szCs w:val="24"/>
    </w:rPr>
  </w:style>
  <w:style w:type="character" w:styleId="712">
    <w:name w:val="Subtitle Char"/>
    <w:basedOn w:val="864"/>
    <w:link w:val="711"/>
    <w:uiPriority w:val="11"/>
    <w:rPr>
      <w:sz w:val="24"/>
      <w:szCs w:val="24"/>
    </w:rPr>
  </w:style>
  <w:style w:type="paragraph" w:styleId="713">
    <w:name w:val="Quote"/>
    <w:basedOn w:val="863"/>
    <w:next w:val="863"/>
    <w:link w:val="714"/>
    <w:uiPriority w:val="29"/>
    <w:qFormat/>
    <w:pPr>
      <w:ind w:left="720" w:right="720"/>
    </w:pPr>
    <w:rPr>
      <w:i/>
    </w:rPr>
  </w:style>
  <w:style w:type="character" w:styleId="714">
    <w:name w:val="Quote Char"/>
    <w:link w:val="713"/>
    <w:uiPriority w:val="29"/>
    <w:rPr>
      <w:i/>
    </w:rPr>
  </w:style>
  <w:style w:type="paragraph" w:styleId="715">
    <w:name w:val="Intense Quote"/>
    <w:basedOn w:val="863"/>
    <w:next w:val="863"/>
    <w:link w:val="716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6">
    <w:name w:val="Intense Quote Char"/>
    <w:link w:val="715"/>
    <w:uiPriority w:val="30"/>
    <w:rPr>
      <w:i/>
    </w:rPr>
  </w:style>
  <w:style w:type="character" w:styleId="717">
    <w:name w:val="Header Char"/>
    <w:basedOn w:val="864"/>
    <w:link w:val="880"/>
    <w:uiPriority w:val="99"/>
  </w:style>
  <w:style w:type="character" w:styleId="718">
    <w:name w:val="Footer Char"/>
    <w:basedOn w:val="864"/>
    <w:link w:val="882"/>
    <w:uiPriority w:val="99"/>
  </w:style>
  <w:style w:type="paragraph" w:styleId="719">
    <w:name w:val="Caption"/>
    <w:basedOn w:val="863"/>
    <w:next w:val="86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0">
    <w:name w:val="Caption Char"/>
    <w:basedOn w:val="719"/>
    <w:link w:val="882"/>
    <w:uiPriority w:val="99"/>
  </w:style>
  <w:style w:type="table" w:styleId="721">
    <w:name w:val="Table Grid Light"/>
    <w:basedOn w:val="86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2">
    <w:name w:val="Plain Table 1"/>
    <w:basedOn w:val="86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3">
    <w:name w:val="Plain Table 2"/>
    <w:basedOn w:val="86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4">
    <w:name w:val="Plain Table 3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5">
    <w:name w:val="Plain Table 4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Plain Table 5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7">
    <w:name w:val="Grid Table 1 Light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1 Light - Accent 1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Grid Table 1 Light - Accent 2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Grid Table 1 Light - Accent 3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Grid Table 1 Light - Accent 4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1 Light - Accent 5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1 Light - Accent 6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2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2 - Accent 1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2 - Accent 2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2 - Accent 3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2 - Accent 4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2 - Accent 5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2 - Accent 6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3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3 - Accent 1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3 - Accent 2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3 - Accent 3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 - Accent 4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3 - Accent 5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 - Accent 6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4"/>
    <w:basedOn w:val="8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9">
    <w:name w:val="Grid Table 4 - Accent 1"/>
    <w:basedOn w:val="8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0">
    <w:name w:val="Grid Table 4 - Accent 2"/>
    <w:basedOn w:val="8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1">
    <w:name w:val="Grid Table 4 - Accent 3"/>
    <w:basedOn w:val="8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2">
    <w:name w:val="Grid Table 4 - Accent 4"/>
    <w:basedOn w:val="8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3">
    <w:name w:val="Grid Table 4 - Accent 5"/>
    <w:basedOn w:val="8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4">
    <w:name w:val="Grid Table 4 - Accent 6"/>
    <w:basedOn w:val="8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5">
    <w:name w:val="Grid Table 5 Dark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6">
    <w:name w:val="Grid Table 5 Dark- Accent 1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57">
    <w:name w:val="Grid Table 5 Dark - Accent 2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58">
    <w:name w:val="Grid Table 5 Dark - Accent 3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59">
    <w:name w:val="Grid Table 5 Dark- Accent 4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60">
    <w:name w:val="Grid Table 5 Dark - Accent 5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61">
    <w:name w:val="Grid Table 5 Dark - Accent 6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62">
    <w:name w:val="Grid Table 6 Colorful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3">
    <w:name w:val="Grid Table 6 Colorful - Accent 1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4">
    <w:name w:val="Grid Table 6 Colorful - Accent 2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5">
    <w:name w:val="Grid Table 6 Colorful - Accent 3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6">
    <w:name w:val="Grid Table 6 Colorful - Accent 4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7">
    <w:name w:val="Grid Table 6 Colorful - Accent 5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8">
    <w:name w:val="Grid Table 6 Colorful - Accent 6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9">
    <w:name w:val="Grid Table 7 Colorful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7 Colorful - Accent 1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7 Colorful - Accent 2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7 Colorful - Accent 3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7 Colorful - Accent 4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7 Colorful - Accent 5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7 Colorful - Accent 6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1 Light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1 Light - Accent 1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1 Light - Accent 2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1 Light - Accent 3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 - Accent 4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 - Accent 5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 - Accent 6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2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4">
    <w:name w:val="List Table 2 - Accent 1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5">
    <w:name w:val="List Table 2 - Accent 2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6">
    <w:name w:val="List Table 2 - Accent 3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7">
    <w:name w:val="List Table 2 - Accent 4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8">
    <w:name w:val="List Table 2 - Accent 5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9">
    <w:name w:val="List Table 2 - Accent 6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0">
    <w:name w:val="List Table 3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3 - Accent 1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3 - Accent 2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3 - Accent 3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3 - Accent 4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3 - Accent 5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3 - Accent 6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4 - Accent 1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 - Accent 2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4 - Accent 3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 - Accent 4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 - Accent 5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 - Accent 6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5 Dark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5">
    <w:name w:val="List Table 5 Dark - Accent 1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6">
    <w:name w:val="List Table 5 Dark - Accent 2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7">
    <w:name w:val="List Table 5 Dark - Accent 3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8">
    <w:name w:val="List Table 5 Dark - Accent 4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5 Dark - Accent 5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0">
    <w:name w:val="List Table 5 Dark - Accent 6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6 Colorful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2">
    <w:name w:val="List Table 6 Colorful - Accent 1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3">
    <w:name w:val="List Table 6 Colorful - Accent 2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4">
    <w:name w:val="List Table 6 Colorful - Accent 3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5">
    <w:name w:val="List Table 6 Colorful - Accent 4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6">
    <w:name w:val="List Table 6 Colorful - Accent 5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7">
    <w:name w:val="List Table 6 Colorful - Accent 6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8">
    <w:name w:val="List Table 7 Colorful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9">
    <w:name w:val="List Table 7 Colorful - Accent 1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20">
    <w:name w:val="List Table 7 Colorful - Accent 2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21">
    <w:name w:val="List Table 7 Colorful - Accent 3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22">
    <w:name w:val="List Table 7 Colorful - Accent 4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23">
    <w:name w:val="List Table 7 Colorful - Accent 5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24">
    <w:name w:val="List Table 7 Colorful - Accent 6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25">
    <w:name w:val="Lined - Accent"/>
    <w:basedOn w:val="8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6">
    <w:name w:val="Lined - Accent 1"/>
    <w:basedOn w:val="8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27">
    <w:name w:val="Lined - Accent 2"/>
    <w:basedOn w:val="8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28">
    <w:name w:val="Lined - Accent 3"/>
    <w:basedOn w:val="8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29">
    <w:name w:val="Lined - Accent 4"/>
    <w:basedOn w:val="8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30">
    <w:name w:val="Lined - Accent 5"/>
    <w:basedOn w:val="8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31">
    <w:name w:val="Lined - Accent 6"/>
    <w:basedOn w:val="8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32">
    <w:name w:val="Bordered &amp; Lined - Accent"/>
    <w:basedOn w:val="8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3">
    <w:name w:val="Bordered &amp; Lined - Accent 1"/>
    <w:basedOn w:val="8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34">
    <w:name w:val="Bordered &amp; Lined - Accent 2"/>
    <w:basedOn w:val="8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35">
    <w:name w:val="Bordered &amp; Lined - Accent 3"/>
    <w:basedOn w:val="8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36">
    <w:name w:val="Bordered &amp; Lined - Accent 4"/>
    <w:basedOn w:val="8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37">
    <w:name w:val="Bordered &amp; Lined - Accent 5"/>
    <w:basedOn w:val="8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38">
    <w:name w:val="Bordered &amp; Lined - Accent 6"/>
    <w:basedOn w:val="8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39">
    <w:name w:val="Bordered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0">
    <w:name w:val="Bordered - Accent 1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1">
    <w:name w:val="Bordered - Accent 2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2">
    <w:name w:val="Bordered - Accent 3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3">
    <w:name w:val="Bordered - Accent 4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4">
    <w:name w:val="Bordered - Accent 5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5">
    <w:name w:val="Bordered - Accent 6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46">
    <w:name w:val="footnote text"/>
    <w:basedOn w:val="863"/>
    <w:link w:val="847"/>
    <w:uiPriority w:val="99"/>
    <w:semiHidden/>
    <w:unhideWhenUsed/>
    <w:pPr>
      <w:spacing w:after="40" w:line="240" w:lineRule="auto"/>
    </w:pPr>
    <w:rPr>
      <w:sz w:val="18"/>
    </w:rPr>
  </w:style>
  <w:style w:type="character" w:styleId="847">
    <w:name w:val="Footnote Text Char"/>
    <w:link w:val="846"/>
    <w:uiPriority w:val="99"/>
    <w:rPr>
      <w:sz w:val="18"/>
    </w:rPr>
  </w:style>
  <w:style w:type="character" w:styleId="848">
    <w:name w:val="footnote reference"/>
    <w:basedOn w:val="864"/>
    <w:uiPriority w:val="99"/>
    <w:unhideWhenUsed/>
    <w:rPr>
      <w:vertAlign w:val="superscript"/>
    </w:rPr>
  </w:style>
  <w:style w:type="paragraph" w:styleId="849">
    <w:name w:val="endnote text"/>
    <w:basedOn w:val="863"/>
    <w:link w:val="850"/>
    <w:uiPriority w:val="99"/>
    <w:semiHidden/>
    <w:unhideWhenUsed/>
    <w:pPr>
      <w:spacing w:after="0" w:line="240" w:lineRule="auto"/>
    </w:pPr>
    <w:rPr>
      <w:sz w:val="20"/>
    </w:rPr>
  </w:style>
  <w:style w:type="character" w:styleId="850">
    <w:name w:val="Endnote Text Char"/>
    <w:link w:val="849"/>
    <w:uiPriority w:val="99"/>
    <w:rPr>
      <w:sz w:val="20"/>
    </w:rPr>
  </w:style>
  <w:style w:type="character" w:styleId="851">
    <w:name w:val="endnote reference"/>
    <w:basedOn w:val="864"/>
    <w:uiPriority w:val="99"/>
    <w:semiHidden/>
    <w:unhideWhenUsed/>
    <w:rPr>
      <w:vertAlign w:val="superscript"/>
    </w:rPr>
  </w:style>
  <w:style w:type="paragraph" w:styleId="852">
    <w:name w:val="toc 1"/>
    <w:basedOn w:val="863"/>
    <w:next w:val="863"/>
    <w:uiPriority w:val="39"/>
    <w:unhideWhenUsed/>
    <w:pPr>
      <w:ind w:left="0" w:right="0" w:firstLine="0"/>
      <w:spacing w:after="57"/>
    </w:pPr>
  </w:style>
  <w:style w:type="paragraph" w:styleId="853">
    <w:name w:val="toc 2"/>
    <w:basedOn w:val="863"/>
    <w:next w:val="863"/>
    <w:uiPriority w:val="39"/>
    <w:unhideWhenUsed/>
    <w:pPr>
      <w:ind w:left="283" w:right="0" w:firstLine="0"/>
      <w:spacing w:after="57"/>
    </w:pPr>
  </w:style>
  <w:style w:type="paragraph" w:styleId="854">
    <w:name w:val="toc 3"/>
    <w:basedOn w:val="863"/>
    <w:next w:val="863"/>
    <w:uiPriority w:val="39"/>
    <w:unhideWhenUsed/>
    <w:pPr>
      <w:ind w:left="567" w:right="0" w:firstLine="0"/>
      <w:spacing w:after="57"/>
    </w:pPr>
  </w:style>
  <w:style w:type="paragraph" w:styleId="855">
    <w:name w:val="toc 4"/>
    <w:basedOn w:val="863"/>
    <w:next w:val="863"/>
    <w:uiPriority w:val="39"/>
    <w:unhideWhenUsed/>
    <w:pPr>
      <w:ind w:left="850" w:right="0" w:firstLine="0"/>
      <w:spacing w:after="57"/>
    </w:pPr>
  </w:style>
  <w:style w:type="paragraph" w:styleId="856">
    <w:name w:val="toc 5"/>
    <w:basedOn w:val="863"/>
    <w:next w:val="863"/>
    <w:uiPriority w:val="39"/>
    <w:unhideWhenUsed/>
    <w:pPr>
      <w:ind w:left="1134" w:right="0" w:firstLine="0"/>
      <w:spacing w:after="57"/>
    </w:pPr>
  </w:style>
  <w:style w:type="paragraph" w:styleId="857">
    <w:name w:val="toc 6"/>
    <w:basedOn w:val="863"/>
    <w:next w:val="863"/>
    <w:uiPriority w:val="39"/>
    <w:unhideWhenUsed/>
    <w:pPr>
      <w:ind w:left="1417" w:right="0" w:firstLine="0"/>
      <w:spacing w:after="57"/>
    </w:pPr>
  </w:style>
  <w:style w:type="paragraph" w:styleId="858">
    <w:name w:val="toc 7"/>
    <w:basedOn w:val="863"/>
    <w:next w:val="863"/>
    <w:uiPriority w:val="39"/>
    <w:unhideWhenUsed/>
    <w:pPr>
      <w:ind w:left="1701" w:right="0" w:firstLine="0"/>
      <w:spacing w:after="57"/>
    </w:pPr>
  </w:style>
  <w:style w:type="paragraph" w:styleId="859">
    <w:name w:val="toc 8"/>
    <w:basedOn w:val="863"/>
    <w:next w:val="863"/>
    <w:uiPriority w:val="39"/>
    <w:unhideWhenUsed/>
    <w:pPr>
      <w:ind w:left="1984" w:right="0" w:firstLine="0"/>
      <w:spacing w:after="57"/>
    </w:pPr>
  </w:style>
  <w:style w:type="paragraph" w:styleId="860">
    <w:name w:val="toc 9"/>
    <w:basedOn w:val="863"/>
    <w:next w:val="863"/>
    <w:uiPriority w:val="39"/>
    <w:unhideWhenUsed/>
    <w:pPr>
      <w:ind w:left="2268" w:right="0" w:firstLine="0"/>
      <w:spacing w:after="57"/>
    </w:pPr>
  </w:style>
  <w:style w:type="paragraph" w:styleId="861">
    <w:name w:val="TOC Heading"/>
    <w:uiPriority w:val="39"/>
    <w:unhideWhenUsed/>
  </w:style>
  <w:style w:type="paragraph" w:styleId="862">
    <w:name w:val="table of figures"/>
    <w:basedOn w:val="863"/>
    <w:next w:val="863"/>
    <w:uiPriority w:val="99"/>
    <w:unhideWhenUsed/>
    <w:pPr>
      <w:spacing w:after="0" w:afterAutospacing="0"/>
    </w:pPr>
  </w:style>
  <w:style w:type="paragraph" w:styleId="863" w:default="1">
    <w:name w:val="Normal"/>
    <w:qFormat/>
  </w:style>
  <w:style w:type="character" w:styleId="864" w:default="1">
    <w:name w:val="Default Paragraph Font"/>
    <w:uiPriority w:val="1"/>
    <w:semiHidden/>
    <w:unhideWhenUsed/>
  </w:style>
  <w:style w:type="table" w:styleId="86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66" w:default="1">
    <w:name w:val="No List"/>
    <w:uiPriority w:val="99"/>
    <w:semiHidden/>
    <w:unhideWhenUsed/>
  </w:style>
  <w:style w:type="table" w:styleId="867" w:customStyle="1">
    <w:name w:val="Сетка таблицы4"/>
    <w:basedOn w:val="865"/>
    <w:next w:val="868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868">
    <w:name w:val="Table Grid"/>
    <w:basedOn w:val="865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869">
    <w:name w:val="Hyperlink"/>
    <w:basedOn w:val="864"/>
    <w:uiPriority w:val="99"/>
    <w:unhideWhenUsed/>
    <w:rPr>
      <w:color w:val="0563c1" w:themeColor="hyperlink"/>
      <w:u w:val="single"/>
    </w:rPr>
  </w:style>
  <w:style w:type="paragraph" w:styleId="870">
    <w:name w:val="Body Text Indent 3"/>
    <w:basedOn w:val="863"/>
    <w:link w:val="871"/>
    <w:uiPriority w:val="99"/>
    <w:unhideWhenUsed/>
    <w:pPr>
      <w:ind w:left="283"/>
      <w:spacing w:after="120" w:line="276" w:lineRule="auto"/>
    </w:pPr>
    <w:rPr>
      <w:rFonts w:eastAsiaTheme="minorEastAsia"/>
      <w:sz w:val="16"/>
      <w:szCs w:val="16"/>
      <w:lang w:val="en-US"/>
    </w:rPr>
  </w:style>
  <w:style w:type="character" w:styleId="871" w:customStyle="1">
    <w:name w:val="Основной текст с отступом 3 Знак"/>
    <w:basedOn w:val="864"/>
    <w:link w:val="870"/>
    <w:uiPriority w:val="99"/>
    <w:rPr>
      <w:rFonts w:eastAsiaTheme="minorEastAsia"/>
      <w:sz w:val="16"/>
      <w:szCs w:val="16"/>
      <w:lang w:val="en-US"/>
    </w:rPr>
  </w:style>
  <w:style w:type="paragraph" w:styleId="872">
    <w:name w:val="Body Text Indent 2"/>
    <w:basedOn w:val="863"/>
    <w:link w:val="873"/>
    <w:uiPriority w:val="99"/>
    <w:semiHidden/>
    <w:unhideWhenUsed/>
    <w:pPr>
      <w:ind w:left="283"/>
      <w:spacing w:after="120" w:line="480" w:lineRule="auto"/>
    </w:pPr>
  </w:style>
  <w:style w:type="character" w:styleId="873" w:customStyle="1">
    <w:name w:val="Основной текст с отступом 2 Знак"/>
    <w:basedOn w:val="864"/>
    <w:link w:val="872"/>
    <w:uiPriority w:val="99"/>
    <w:semiHidden/>
  </w:style>
  <w:style w:type="paragraph" w:styleId="874">
    <w:name w:val="List Paragraph"/>
    <w:basedOn w:val="863"/>
    <w:uiPriority w:val="34"/>
    <w:qFormat/>
    <w:pPr>
      <w:contextualSpacing/>
      <w:ind w:left="720"/>
    </w:pPr>
  </w:style>
  <w:style w:type="paragraph" w:styleId="875">
    <w:name w:val="Body Text"/>
    <w:basedOn w:val="863"/>
    <w:link w:val="876"/>
    <w:uiPriority w:val="99"/>
    <w:unhideWhenUsed/>
    <w:pPr>
      <w:spacing w:after="120" w:line="276" w:lineRule="auto"/>
    </w:pPr>
    <w:rPr>
      <w:rFonts w:eastAsiaTheme="minorEastAsia"/>
      <w:lang w:val="en-US"/>
    </w:rPr>
  </w:style>
  <w:style w:type="character" w:styleId="876" w:customStyle="1">
    <w:name w:val="Основной текст Знак"/>
    <w:basedOn w:val="864"/>
    <w:link w:val="875"/>
    <w:uiPriority w:val="99"/>
    <w:rPr>
      <w:rFonts w:eastAsiaTheme="minorEastAsia"/>
      <w:lang w:val="en-US"/>
    </w:rPr>
  </w:style>
  <w:style w:type="character" w:styleId="877" w:customStyle="1">
    <w:name w:val="Font Style12"/>
    <w:uiPriority w:val="99"/>
    <w:rPr>
      <w:rFonts w:ascii="Times New Roman" w:hAnsi="Times New Roman" w:cs="Times New Roman"/>
      <w:sz w:val="24"/>
      <w:szCs w:val="24"/>
    </w:rPr>
  </w:style>
  <w:style w:type="paragraph" w:styleId="878">
    <w:name w:val="Body Text Indent"/>
    <w:basedOn w:val="863"/>
    <w:link w:val="879"/>
    <w:uiPriority w:val="99"/>
    <w:semiHidden/>
    <w:unhideWhenUsed/>
    <w:pPr>
      <w:ind w:left="283"/>
      <w:spacing w:after="120"/>
    </w:pPr>
  </w:style>
  <w:style w:type="character" w:styleId="879" w:customStyle="1">
    <w:name w:val="Основной текст с отступом Знак"/>
    <w:basedOn w:val="864"/>
    <w:link w:val="878"/>
    <w:uiPriority w:val="99"/>
    <w:semiHidden/>
  </w:style>
  <w:style w:type="paragraph" w:styleId="880">
    <w:name w:val="Header"/>
    <w:basedOn w:val="863"/>
    <w:link w:val="881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81" w:customStyle="1">
    <w:name w:val="Верхний колонтитул Знак"/>
    <w:basedOn w:val="864"/>
    <w:link w:val="880"/>
    <w:uiPriority w:val="99"/>
  </w:style>
  <w:style w:type="paragraph" w:styleId="882">
    <w:name w:val="Footer"/>
    <w:basedOn w:val="863"/>
    <w:link w:val="883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83" w:customStyle="1">
    <w:name w:val="Нижний колонтитул Знак"/>
    <w:basedOn w:val="864"/>
    <w:link w:val="882"/>
    <w:uiPriority w:val="99"/>
  </w:style>
  <w:style w:type="paragraph" w:styleId="884">
    <w:name w:val="Balloon Text"/>
    <w:basedOn w:val="863"/>
    <w:link w:val="885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85" w:customStyle="1">
    <w:name w:val="Текст выноски Знак"/>
    <w:basedOn w:val="864"/>
    <w:link w:val="884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customXml" Target="../customXml/item1.xml" /><Relationship Id="rId11" Type="http://schemas.openxmlformats.org/officeDocument/2006/relationships/hyperlink" Target="https://lot-online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74ADE0-B618-4F6E-A339-DE1B9A13C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Титов Константин Игоревич</dc:creator>
  <cp:revision>59</cp:revision>
  <dcterms:created xsi:type="dcterms:W3CDTF">2020-03-27T02:41:00Z</dcterms:created>
  <dcterms:modified xsi:type="dcterms:W3CDTF">2024-04-18T02:00:08Z</dcterms:modified>
</cp:coreProperties>
</file>