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ind w:left="40"/>
        <w:spacing w:before="0"/>
        <w:shd w:val="clear" w:color="auto" w:fill="auto"/>
        <w:rPr>
          <w:b/>
        </w:rPr>
      </w:pPr>
      <w:r>
        <w:rPr>
          <w:b/>
        </w:rPr>
        <w:t xml:space="preserve">ФОРМА ОБОСНОВАНИЯ НМЦ</w:t>
      </w:r>
      <w:r>
        <w:rPr>
          <w:b/>
        </w:rPr>
      </w:r>
      <w:r>
        <w:rPr>
          <w:b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eastAsia="Times New Roman" w:cs="Times New Roman"/>
          <w:b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br/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</w:p>
    <w:p>
      <w:pPr>
        <w:pStyle w:val="838"/>
        <w:shd w:val="clear" w:color="auto" w:fill="auto"/>
      </w:pPr>
      <w:r>
        <w:t xml:space="preserve">1. Общая информация</w:t>
      </w:r>
      <w:r/>
    </w:p>
    <w:tbl>
      <w:tblPr>
        <w:tblStyle w:val="839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6089"/>
      </w:tblGrid>
      <w:tr>
        <w:tblPrEx/>
        <w:trPr/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</w:p>
          <w:p>
            <w:pPr>
              <w:jc w:val="center"/>
            </w:pPr>
            <w:r>
              <w:rPr>
                <w:rFonts w:ascii="Times New Roman" w:hAnsi="Times New Roman" w:eastAsia="Courier New" w:cs="Times New Roman"/>
                <w:color w:val="000000"/>
                <w:lang w:eastAsia="ru-RU" w:bidi="ru-RU"/>
              </w:rPr>
              <w:t xml:space="preserve">п/п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Наименование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Информация по лоту</w:t>
            </w:r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ОКПД2 41.20.40.000. Выполнение работ по косметическому ремонту  кабинетов ОВК, ИБК Владивостокской ТЭЦ-2, г. Владивосток</w:t>
            </w:r>
            <w:r>
              <w:rPr>
                <w:rFonts w:ascii="Times New Roman" w:hAnsi="Times New Roman" w:cs="Times New Roman"/>
                <w:szCs w:val="24"/>
              </w:rPr>
            </w:r>
            <w:r>
              <w:rPr>
                <w:rFonts w:ascii="Times New Roman" w:hAnsi="Times New Roman" w:cs="Times New Roman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1.2.</w:t>
            </w:r>
            <w:r>
              <w:rPr>
                <w:rFonts w:ascii="Times New Roman" w:hAnsi="Times New Roman" w:cs="Times New Roman"/>
                <w:lang w:bidi="ru-RU"/>
              </w:rPr>
            </w:r>
            <w:r>
              <w:rPr>
                <w:rFonts w:ascii="Times New Roman" w:hAnsi="Times New Roman" w:cs="Times New Roman"/>
                <w:lang w:bidi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Номер лота</w:t>
            </w:r>
            <w:r>
              <w:rPr>
                <w:rFonts w:ascii="Times New Roman" w:hAnsi="Times New Roman" w:cs="Times New Roman"/>
                <w:lang w:bidi="ru-RU"/>
              </w:rPr>
            </w:r>
            <w:r>
              <w:rPr>
                <w:rFonts w:ascii="Times New Roman" w:hAnsi="Times New Roman" w:cs="Times New Roman"/>
                <w:lang w:bidi="ru-RU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bidi="ru-RU"/>
              </w:rPr>
              <w:t xml:space="preserve">Лот  №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highlight w:val="white"/>
                <w:lang w:bidi="ru-RU"/>
              </w:rPr>
              <w:t xml:space="preserve">11040006-РЕМ ПРОД-2025-ДГК</w:t>
            </w:r>
            <w:r>
              <w:rPr>
                <w:rFonts w:ascii="Times New Roman" w:hAnsi="Times New Roman" w:cs="Times New Roman"/>
                <w:highlight w:val="white"/>
                <w:lang w:bidi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left"/>
              <w:spacing w:after="0" w:line="244" w:lineRule="exact"/>
              <w:shd w:val="clear" w:color="auto" w:fill="auto"/>
              <w:rPr>
                <w:rFonts w:eastAsiaTheme="minorHAnsi"/>
                <w:sz w:val="22"/>
                <w:szCs w:val="22"/>
                <w:lang w:bidi="ru-RU"/>
              </w:rPr>
            </w:pPr>
            <w:r>
              <w:rPr>
                <w:rFonts w:eastAsiaTheme="minorHAnsi"/>
              </w:rPr>
              <w:t xml:space="preserve">1.3.</w:t>
            </w:r>
            <w:r>
              <w:rPr>
                <w:rFonts w:eastAsiaTheme="minorHAnsi"/>
                <w:sz w:val="22"/>
                <w:szCs w:val="22"/>
                <w:lang w:bidi="ru-RU"/>
              </w:rPr>
            </w:r>
            <w:r>
              <w:rPr>
                <w:rFonts w:eastAsiaTheme="minorHAnsi"/>
                <w:sz w:val="22"/>
                <w:szCs w:val="22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left"/>
              <w:spacing w:after="0" w:line="244" w:lineRule="exact"/>
              <w:shd w:val="clear" w:color="auto" w:fill="auto"/>
              <w:rPr>
                <w:rFonts w:eastAsiaTheme="minorHAnsi"/>
                <w:sz w:val="22"/>
                <w:szCs w:val="22"/>
                <w:lang w:bidi="ru-RU"/>
              </w:rPr>
            </w:pPr>
            <w:r>
              <w:rPr>
                <w:rFonts w:eastAsiaTheme="minorHAnsi"/>
              </w:rPr>
              <w:t xml:space="preserve">НМЦ лота</w:t>
            </w:r>
            <w:r>
              <w:rPr>
                <w:rFonts w:eastAsiaTheme="minorHAnsi"/>
                <w:sz w:val="22"/>
                <w:szCs w:val="22"/>
                <w:lang w:bidi="ru-RU"/>
              </w:rPr>
            </w:r>
            <w:r>
              <w:rPr>
                <w:rFonts w:eastAsiaTheme="minorHAnsi"/>
                <w:sz w:val="22"/>
                <w:szCs w:val="22"/>
                <w:lang w:bidi="ru-RU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i/>
                <w:highlight w:val="white"/>
              </w:rPr>
              <w:t xml:space="preserve">19 835 064,00 </w:t>
            </w:r>
            <w:r>
              <w:rPr>
                <w:rFonts w:ascii="Times New Roman" w:hAnsi="Times New Roman" w:cs="Times New Roman"/>
                <w:i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highlight w:val="white"/>
                <w:lang w:bidi="ru-RU"/>
              </w:rPr>
              <w:t xml:space="preserve">рублей без учета НДС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</w:tbl>
    <w:p>
      <w:r/>
      <w:r/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Метод анализа: 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ресурсно-индексный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p>
      <w:pPr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Обоснование расчета НМЦ: прилагаемый сводный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 сметный расчет стоимости строительства (п</w:t>
      </w:r>
      <w:r>
        <w:rPr>
          <w:rFonts w:ascii="Times New Roman" w:hAnsi="Times New Roman" w:eastAsia="Times New Roman" w:cs="Times New Roman"/>
          <w:color w:val="000000"/>
          <w:highlight w:val="white"/>
          <w:lang w:eastAsia="ru-RU" w:bidi="ru-RU"/>
        </w:rPr>
        <w:t xml:space="preserve">риложение №3 к Техническим требованиям)</w:t>
      </w:r>
      <w:bookmarkStart w:id="0" w:name="_GoBack"/>
      <w:r>
        <w:rPr>
          <w:highlight w:val="white"/>
        </w:rPr>
      </w:r>
      <w:bookmarkEnd w:id="0"/>
      <w:r>
        <w:rPr>
          <w:rFonts w:ascii="Times New Roman" w:hAnsi="Times New Roman" w:cs="Times New Roman"/>
          <w:b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sz w:val="26"/>
          <w:szCs w:val="26"/>
          <w:highlight w:val="whit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Основной текст (14)_"/>
    <w:basedOn w:val="832"/>
    <w:link w:val="836"/>
    <w:rPr>
      <w:rFonts w:ascii="Times New Roman" w:hAnsi="Times New Roman" w:eastAsia="Times New Roman" w:cs="Times New Roman"/>
      <w:shd w:val="clear" w:color="auto" w:fill="ffffff"/>
    </w:rPr>
  </w:style>
  <w:style w:type="paragraph" w:styleId="836" w:customStyle="1">
    <w:name w:val="Основной текст (14)"/>
    <w:basedOn w:val="831"/>
    <w:link w:val="835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37" w:customStyle="1">
    <w:name w:val="Подпись к таблице (2)_"/>
    <w:basedOn w:val="832"/>
    <w:link w:val="838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38" w:customStyle="1">
    <w:name w:val="Подпись к таблице (2)"/>
    <w:basedOn w:val="831"/>
    <w:link w:val="837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Основной текст (2)_"/>
    <w:basedOn w:val="832"/>
    <w:link w:val="842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41" w:customStyle="1">
    <w:name w:val="Основной текст (2) + 11 pt"/>
    <w:basedOn w:val="840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42" w:customStyle="1">
    <w:name w:val="Основной текст (2)"/>
    <w:basedOn w:val="831"/>
    <w:link w:val="840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cp:keywords/>
  <dc:description/>
  <cp:lastModifiedBy>fetisova_sv</cp:lastModifiedBy>
  <cp:revision>40</cp:revision>
  <dcterms:created xsi:type="dcterms:W3CDTF">2021-07-07T07:07:00Z</dcterms:created>
  <dcterms:modified xsi:type="dcterms:W3CDTF">2024-11-12T00:44:31Z</dcterms:modified>
</cp:coreProperties>
</file>