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Структурное подразделение «Центр подготовки персонала» Акционерного общества «Дальневосточное генерирующая компания»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местах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Индиви</w:t>
            </w:r>
            <w:r>
              <w:rPr>
                <w:color w:val="000000"/>
                <w:sz w:val="20"/>
              </w:rPr>
              <w:t xml:space="preserve">дуальный номер рабочего места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работника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 с учетом эффективного применения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апряженность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хозяйственного обеспечения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1-310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обслуживанию электроустановок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по профориентационной работе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2-310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3-310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lang w:val="en-US"/>
        </w:rPr>
      </w:pPr>
      <w:r>
        <w:t xml:space="preserve">Дата составления:</w:t>
      </w:r>
      <w:r>
        <w:rPr>
          <w:rStyle w:val="665"/>
        </w:rPr>
        <w:t xml:space="preserve">11.11.2025</w:t>
      </w:r>
      <w:r>
        <w:rPr>
          <w:lang w:val="en-US"/>
        </w:rPr>
      </w:r>
      <w:r/>
      <w:r/>
      <w:r>
        <w:rPr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3</cp:revision>
  <dcterms:created xsi:type="dcterms:W3CDTF">2025-11-11T06:26:00Z</dcterms:created>
  <dcterms:modified xsi:type="dcterms:W3CDTF">2026-01-14T03:57:23Z</dcterms:modified>
</cp:coreProperties>
</file>