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contextualSpacing/>
        <w:jc w:val="right"/>
        <w:spacing w:line="276" w:lineRule="auto"/>
        <w:rPr>
          <w:rFonts w:ascii="Times New Roman" w:hAnsi="Times New Roman" w:cs="Times New Roman"/>
          <w:bCs w:val="0"/>
          <w:i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Приложение №1 к Договору подряда №____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___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__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от ____________ 202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__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г</w:t>
      </w:r>
      <w:r>
        <w:rPr>
          <w:rFonts w:ascii="Times New Roman" w:hAnsi="Times New Roman" w:cs="Times New Roman"/>
          <w:bCs w:val="0"/>
          <w:i w:val="0"/>
          <w:sz w:val="24"/>
          <w:szCs w:val="24"/>
        </w:rPr>
      </w:r>
      <w:r>
        <w:rPr>
          <w:rFonts w:ascii="Times New Roman" w:hAnsi="Times New Roman" w:cs="Times New Roman"/>
          <w:bCs w:val="0"/>
          <w:i w:val="0"/>
          <w:sz w:val="24"/>
          <w:szCs w:val="24"/>
        </w:rPr>
      </w:r>
    </w:p>
    <w:p>
      <w:pPr>
        <w:pStyle w:val="884"/>
        <w:contextualSpacing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jc w:val="center"/>
        <w:spacing w:line="276" w:lineRule="auto"/>
        <w:rPr>
          <w:rFonts w:ascii="Times New Roman" w:hAnsi="Times New Roman" w:cs="Times New Roman"/>
          <w:b/>
          <w:bCs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jc w:val="center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84"/>
        <w:contextualSpacing/>
        <w:jc w:val="both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84"/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</w:rPr>
        <w:t xml:space="preserve">1. Требование к выполнению работ</w:t>
      </w:r>
      <w:r>
        <w:rPr>
          <w:rFonts w:ascii="Times New Roman" w:hAnsi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884"/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</w:rPr>
        <w:t xml:space="preserve">1.1. Соблюдение при выполнении работ норм и правил нормативно-технических документов: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(НТД)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1"/>
          <w:szCs w:val="21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СТО РусГидро 02.01.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62-2021 «Электрические станции и сети. Ремонт и техническое обслуживание оборудования, зданий и сооружений. Организация производственных процессов. Нормы и требования» (приказ АО «ДГК» от 18.01.2022г. №19)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1"/>
          <w:szCs w:val="21"/>
        </w:rPr>
      </w:r>
      <w:r>
        <w:rPr>
          <w:rFonts w:ascii="Times New Roman" w:hAnsi="Times New Roman" w:cs="Times New Roman"/>
          <w:sz w:val="21"/>
          <w:szCs w:val="21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1"/>
          <w:szCs w:val="21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-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СТО 70238424.27.100.017-2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  <w:t xml:space="preserve">009 Тепловые электростанции. Ремонт и техническое обслуживание оборудования, зданий и сооружений. Организация производственных процессов. Нормы и требования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1"/>
          <w:szCs w:val="21"/>
        </w:rPr>
      </w:r>
      <w:r>
        <w:rPr>
          <w:rFonts w:ascii="Times New Roman" w:hAnsi="Times New Roman" w:cs="Times New Roman"/>
          <w:sz w:val="21"/>
          <w:szCs w:val="21"/>
        </w:rPr>
      </w:r>
    </w:p>
    <w:p>
      <w:pPr>
        <w:contextualSpacing/>
        <w:ind w:left="0" w:right="0" w:firstLine="709"/>
        <w:jc w:val="both"/>
        <w:spacing w:line="276" w:lineRule="auto"/>
        <w:widowControl w:val="off"/>
        <w:rPr>
          <w:rFonts w:ascii="Times New Roman" w:hAnsi="Times New Roman" w:cs="Times New Roman"/>
          <w:sz w:val="21"/>
          <w:szCs w:val="21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 СП 48.13330.2019 «Свод правил. Организация строительства» (ред. от 28.03.2022);</w:t>
      </w:r>
      <w:r>
        <w:rPr>
          <w:rFonts w:ascii="Times New Roman" w:hAnsi="Times New Roman" w:cs="Times New Roman"/>
          <w:sz w:val="21"/>
          <w:szCs w:val="21"/>
        </w:rPr>
      </w:r>
      <w:r>
        <w:rPr>
          <w:rFonts w:ascii="Times New Roman" w:hAnsi="Times New Roman" w:cs="Times New Roman"/>
          <w:sz w:val="21"/>
          <w:szCs w:val="21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1"/>
          <w:szCs w:val="21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СТО 70238424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.27.100.003-2008 "Здания и сооружения ТЭС. Организация эксплуатации и технического обслуживания. Нормы и требования"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1"/>
          <w:szCs w:val="21"/>
        </w:rPr>
      </w:r>
      <w:r>
        <w:rPr>
          <w:rFonts w:ascii="Times New Roman" w:hAnsi="Times New Roman" w:cs="Times New Roman"/>
          <w:sz w:val="21"/>
          <w:szCs w:val="21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1"/>
          <w:szCs w:val="21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- СП 70.13330.2012 Актуализированная редакция СНиП 3.03.01-87 Несущие и ограждающие конструкции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1"/>
          <w:szCs w:val="21"/>
        </w:rPr>
      </w:r>
      <w:r>
        <w:rPr>
          <w:rFonts w:ascii="Times New Roman" w:hAnsi="Times New Roman" w:cs="Times New Roman"/>
          <w:sz w:val="21"/>
          <w:szCs w:val="21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1"/>
          <w:szCs w:val="21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СП 17.13330.2017 Актуализированная редакция СНиП II-26-76. Кровли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1"/>
          <w:szCs w:val="21"/>
          <w:highlight w:val="white"/>
          <w14:ligatures w14:val="none"/>
        </w:rPr>
      </w:r>
      <w:r>
        <w:rPr>
          <w:rFonts w:ascii="Times New Roman" w:hAnsi="Times New Roman" w:cs="Times New Roman"/>
          <w:sz w:val="21"/>
          <w:szCs w:val="21"/>
          <w:highlight w:val="white"/>
          <w14:ligatures w14:val="none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1"/>
          <w:szCs w:val="21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-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СП 71.13330.2017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Актуализированная редакция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СНиП 3.04.01-87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Изоляционные и отделочные покрытия.</w:t>
      </w:r>
      <w:r>
        <w:rPr>
          <w:rFonts w:ascii="Times New Roman" w:hAnsi="Times New Roman" w:cs="Times New Roman"/>
          <w:sz w:val="21"/>
          <w:szCs w:val="21"/>
          <w:highlight w:val="none"/>
          <w14:ligatures w14:val="none"/>
        </w:rPr>
      </w:r>
      <w:r>
        <w:rPr>
          <w:rFonts w:ascii="Times New Roman" w:hAnsi="Times New Roman" w:cs="Times New Roman"/>
          <w:sz w:val="21"/>
          <w:szCs w:val="21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- ГОСТ 34378-2018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Конструкции ограждающие светопрозрачные.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Окна и двери.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Производство монтажных работ, контроль и требования к результатам работ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</w:p>
    <w:p>
      <w:pPr>
        <w:pStyle w:val="884"/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ка</w:t>
      </w:r>
      <w:r>
        <w:rPr>
          <w:rFonts w:ascii="Times New Roman" w:hAnsi="Times New Roman" w:cs="Times New Roman"/>
          <w:sz w:val="24"/>
          <w:szCs w:val="24"/>
        </w:rPr>
        <w:t xml:space="preserve">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</w:t>
      </w:r>
      <w:r>
        <w:rPr>
          <w:rFonts w:ascii="Times New Roman" w:hAnsi="Times New Roman" w:cs="Times New Roman"/>
          <w:sz w:val="24"/>
          <w:szCs w:val="24"/>
        </w:rPr>
        <w:t xml:space="preserve">нормативный </w:t>
      </w:r>
      <w:r>
        <w:rPr>
          <w:rFonts w:ascii="Times New Roman" w:hAnsi="Times New Roman" w:cs="Times New Roman"/>
          <w:sz w:val="24"/>
          <w:szCs w:val="24"/>
        </w:rPr>
        <w:t xml:space="preserve">документ, принятый в его развитие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</w:rPr>
        <w:t xml:space="preserve">1.2. Требования к организации работ: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contextualSpacing/>
        <w:ind w:firstLine="425"/>
        <w:jc w:val="both"/>
        <w:spacing w:before="60" w:after="60" w:line="276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1.2.1. 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Комплекс организационно–технических мероприятий, выполняемый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работ, оптимальное расходование материально-техническ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их и трудовых ресурсов. Исполнители ремонта разрабатывают планы подготовки к ремонту в соответствии с планами производственных объектов, принятыми к исполнению объемами работ и согласованным участием в материально–техническом обеспечении ремонтных работ.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зменения объемов работ, предусмотренных ведомостью планируемых работ, оформляются в соответствии с требованиями Положения «Об организации контроля и приемке выполненных работ на ремонтируемых объектах, объектах модернизации, реконструкции и технического пе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ревооружения. Определение эффективности воздействия на оборудование АО «ДГК». 21-003-2019» </w:t>
      </w:r>
      <w:r>
        <w:rPr>
          <w:rFonts w:ascii="Times New Roman" w:hAnsi="Times New Roman" w:eastAsia="Times New Roman" w:cs="Times New Roman"/>
          <w:bCs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(ведомостью дополнительных работ по р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емонту и протоколом исключения работ из ведомости планируемых работ по ремонту), согласовываются с Подрядчик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ом и утверждаются техническим руководителем структурного подразделения, ответственного за непосредственную эксплуатацию производственного объекта. Перечень, форма и сроки передачи ремонтной документации, передаваемой Заказчиком, ответственным за непосредст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венную эксплуатацию производственного объекта, определяется условиями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До начала ремонта Подрядчик: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right="0" w:firstLine="674"/>
        <w:jc w:val="both"/>
        <w:spacing w:before="60" w:after="60"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проводит проверку выполнения подготовительных работ в соответствии с планом подготовки к ремонту.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right="0" w:firstLine="674"/>
        <w:jc w:val="both"/>
        <w:spacing w:before="60" w:after="60"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определяет состав бригад (участков) по численност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и, квалификации и профессиям в соответствии с графиком ремонта. При этом должна быть обеспечена полная занятость рабочих в течение установленных графиком сроков производства работ;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right="0" w:firstLine="674"/>
        <w:jc w:val="both"/>
        <w:spacing w:before="60" w:after="60"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назначает руководителей работ по ремонту в соответствии с номенклатурой и объемом работ, принятым по договору;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right="0" w:firstLine="674"/>
        <w:jc w:val="both"/>
        <w:spacing w:before="60" w:after="60"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назначает лиц, ответственных за соблюдение норм и правил в области охраны труда, электробезопасности, пожарной и промышленной безопасности и мате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риально–техническое обеспечение;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right="0" w:firstLine="674"/>
        <w:jc w:val="both"/>
        <w:spacing w:before="60" w:after="60"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проверяет удостоверения сварщиков, стропальщиков, крановщиков, и лиц других специальностей на право выполнения соответствующих работ;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6"/>
        </w:numPr>
        <w:contextualSpacing/>
        <w:ind w:left="0" w:right="0" w:firstLine="674"/>
        <w:jc w:val="both"/>
        <w:spacing w:before="60" w:after="60"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проверяет выполнение требований допуска ремонтного и командированного персонала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Руководитель работ подрядной организации, участвующей в производстве Работ совместно с представителями Заказчика, осуществляет входной контроль качества применяемых материалов, проводит оперативный контроль качества выполняемых ремонт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ных работ, проверяет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</w:rPr>
        <w:t xml:space="preserve">1.2.2. Организационно-технические мероприятия по допуску персонала подрядчика: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contextualSpacing/>
        <w:ind w:firstLine="456"/>
        <w:jc w:val="both"/>
        <w:spacing w:after="6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Calibri" w:cs="Times New Roman"/>
          <w:bCs/>
          <w:sz w:val="24"/>
          <w:szCs w:val="24"/>
          <w:highlight w:val="white"/>
        </w:rPr>
        <w:t xml:space="preserve">Допуск персонала подрядчика для выполнения работ должен осуществляться в соответствии с: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4"/>
        <w:numPr>
          <w:ilvl w:val="0"/>
          <w:numId w:val="7"/>
        </w:numPr>
        <w:contextualSpacing/>
        <w:ind w:left="0" w:right="0" w:firstLine="567"/>
        <w:jc w:val="both"/>
        <w:spacing w:after="6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Calibri" w:cs="Times New Roman"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Calibri" w:cs="Times New Roman"/>
          <w:bCs/>
          <w:sz w:val="24"/>
          <w:szCs w:val="24"/>
          <w:highlight w:val="white"/>
        </w:rPr>
        <w:t xml:space="preserve">Положением о допуске персонала строительно-монтажных организаций и командированного персонала к выполнению работ на объектах АО «ДГК» №22.1-504-2023 (утверждено приказом АО «ДГК» №534 от 28.07.2023 г.)</w:t>
      </w:r>
      <w:r>
        <w:rPr>
          <w:rFonts w:ascii="Times New Roman" w:hAnsi="Times New Roman" w:eastAsia="Calibri" w:cs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1.3. Требования к материально – техническим ресурсам, контролю качества работ</w:t>
      </w:r>
      <w:r>
        <w:rPr>
          <w:rFonts w:ascii="Times New Roman" w:hAnsi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1.3.</w:t>
      </w: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Требования к используемым материально – техническим ресурсам: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8"/>
        </w:numPr>
        <w:contextualSpacing/>
        <w:ind w:left="35" w:right="0" w:firstLine="532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Calibri" w:cs="Times New Roman"/>
          <w:bCs/>
          <w:sz w:val="24"/>
          <w:szCs w:val="24"/>
          <w:highlight w:val="white"/>
        </w:rPr>
        <w:t xml:space="preserve">Материалы, необходимые для выполнения работ, приобретаются подрядчиком 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самостоятельно в соответствии с 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приложением №1.2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 к </w:t>
      </w:r>
      <w:r>
        <w:rPr>
          <w:rFonts w:ascii="Times New Roman" w:hAnsi="Times New Roman" w:eastAsia="Calibri" w:cs="Times New Roman"/>
          <w:bCs/>
          <w:sz w:val="24"/>
          <w:szCs w:val="24"/>
          <w:highlight w:val="none"/>
        </w:rPr>
        <w:t xml:space="preserve">Техническому заданию</w:t>
      </w:r>
      <w:r>
        <w:rPr>
          <w:rFonts w:ascii="Times New Roman" w:hAnsi="Times New Roman" w:eastAsia="Calibri" w:cs="Times New Roman"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Calibri" w:cs="Times New Roman"/>
          <w:bCs/>
          <w:sz w:val="24"/>
          <w:szCs w:val="24"/>
          <w:highlight w:val="none"/>
        </w:rPr>
        <w:t xml:space="preserve">- </w:t>
      </w:r>
      <w:r>
        <w:rPr>
          <w:rFonts w:ascii="Times New Roman" w:hAnsi="Times New Roman" w:eastAsia="Calibri" w:cs="Times New Roman"/>
          <w:bCs/>
          <w:sz w:val="24"/>
          <w:szCs w:val="24"/>
          <w:highlight w:val="none"/>
        </w:rPr>
        <w:t xml:space="preserve">Ведомость материалов Подрядчика.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4"/>
        <w:numPr>
          <w:ilvl w:val="0"/>
          <w:numId w:val="8"/>
        </w:numPr>
        <w:contextualSpacing/>
        <w:ind w:left="35" w:right="0" w:firstLine="532"/>
        <w:jc w:val="both"/>
        <w:spacing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Все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применяемые в ходе ремонта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материалы должны быть новыми и не использованными ранее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Под новыми следует понимать материалы, которые не были в употреблении, не проходили ремонт, в том числе восстановление потребительских свойств.</w:t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</w:p>
    <w:p>
      <w:pPr>
        <w:pStyle w:val="724"/>
        <w:numPr>
          <w:ilvl w:val="0"/>
          <w:numId w:val="8"/>
        </w:numPr>
        <w:contextualSpacing/>
        <w:ind w:left="35" w:right="0" w:firstLine="532"/>
        <w:jc w:val="both"/>
        <w:spacing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Подрядчиком в работе могут быть применены эквивалентн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ая продукция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*, предварительно согласованн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ая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с Заказчиком.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4"/>
        <w:numPr>
          <w:ilvl w:val="0"/>
          <w:numId w:val="8"/>
        </w:numPr>
        <w:contextualSpacing/>
        <w:ind w:left="35" w:right="0" w:firstLine="532"/>
        <w:jc w:val="both"/>
        <w:spacing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В случае, если на этапе исполнения договора Подрядчиком, вместо материалов, указанных </w:t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  <w:t xml:space="preserve">в 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приложении №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1.2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 к </w:t>
      </w:r>
      <w:r>
        <w:rPr>
          <w:rFonts w:ascii="Times New Roman" w:hAnsi="Times New Roman" w:eastAsia="Calibri" w:cs="Times New Roman"/>
          <w:bCs/>
          <w:sz w:val="24"/>
          <w:szCs w:val="24"/>
          <w:highlight w:val="none"/>
        </w:rPr>
        <w:t xml:space="preserve">Техническому заданию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, будет применяться эквивалентная продукция, Подрядчик принимает на себя все затраты по внесению соответствующих изменений в техническую и сметную документацию, а также согласованию ее с Заказчиком без увеличения общей стоимости по Договору.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ind w:firstLine="720"/>
        <w:jc w:val="bot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eastAsia="Calibri" w:cs="Times New Roman"/>
          <w:bCs/>
          <w:sz w:val="24"/>
          <w:szCs w:val="24"/>
          <w:highlight w:val="white"/>
        </w:rPr>
        <w:t xml:space="preserve">* Эквивалентная продукция - это продукция, которая по техническим и функциональным характеристикам не уступает характеристикам, указанных в перечне материалов Подрядчика и технической документации.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1.3.</w:t>
      </w:r>
      <w:r>
        <w:rPr>
          <w:rFonts w:ascii="Times New Roman" w:hAnsi="Times New Roman" w:cs="Times New Roman"/>
          <w:bCs/>
          <w:sz w:val="24"/>
          <w:szCs w:val="24"/>
        </w:rPr>
        <w:t xml:space="preserve"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Контроль качества используемых материалов</w:t>
      </w:r>
      <w:r>
        <w:rPr>
          <w:rFonts w:ascii="Times New Roman" w:hAnsi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contextualSpacing/>
        <w:ind w:left="0" w:right="0" w:firstLine="709"/>
        <w:jc w:val="both"/>
        <w:spacing w:after="60" w:line="276" w:lineRule="auto"/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Материалы Подрядчика должны иметь сертификаты, паспорта и другие документы, подтверждающие их качество.</w:t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</w:p>
    <w:p>
      <w:pPr>
        <w:contextualSpacing/>
        <w:ind w:left="0" w:right="0" w:firstLine="709"/>
        <w:jc w:val="both"/>
        <w:spacing w:after="60" w:line="276" w:lineRule="auto"/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 осуществлении Подрядчиком входного контроля качества строительных материалов и изделий, поступивших на ремонтную площадку, обязательное нал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ичие и ведение журнала входного учета и контроля качества получаемых материалов. Отсутствие записи о приемке материалов и оборудовании в данном журнале дает основание Заказчику в отказе приемки выполненных работ с использованием соответствующих материалов.</w:t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1.3.3. </w:t>
      </w:r>
      <w:r>
        <w:rPr>
          <w:rFonts w:ascii="Times New Roman" w:hAnsi="Times New Roman" w:cs="Times New Roman"/>
          <w:sz w:val="24"/>
          <w:szCs w:val="24"/>
        </w:rPr>
        <w:t xml:space="preserve">Контроль качества работ: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after="6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Работы должны быть выполнены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after="6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iCs/>
          <w:sz w:val="24"/>
          <w:szCs w:val="24"/>
          <w:highlight w:val="white"/>
        </w:rPr>
        <w:t xml:space="preserve">Приемка в эксплуатацию и контроль качества ремонта должны производиться в соответствии с разделами №4.2 </w:t>
      </w:r>
      <w:r>
        <w:rPr>
          <w:rFonts w:ascii="Times New Roman" w:hAnsi="Times New Roman" w:cs="Times New Roman"/>
          <w:sz w:val="24"/>
          <w:szCs w:val="24"/>
        </w:rPr>
        <w:t xml:space="preserve">«Об организации контроля и приемке выполненных работ на ремонтируемых объектах, объектах модернизации, реконструкции и технического перевооружения. Определение эффективности воздействия на оборудование АО «ДГК» 21-003-2019».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1.4.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  <w:t xml:space="preserve">Требования к персоналу подрядчика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: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</w:r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Подрядчик должен производить работы квалифицированными специалистами рабочих специальностей и располагать: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4"/>
        <w:numPr>
          <w:ilvl w:val="0"/>
          <w:numId w:val="10"/>
        </w:numPr>
        <w:contextualSpacing/>
        <w:ind w:left="0" w:right="0" w:firstLine="567"/>
        <w:jc w:val="both"/>
        <w:spacing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квалифицированной командой ИТР, способной до начала работ на объекте ознакомить производственные бригады с общим объёмом работ, сроком выполнения работ и графиком, правилами внутреннего распорядка, задачами, стоящими перед каждой бригадой: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4"/>
        <w:numPr>
          <w:ilvl w:val="0"/>
          <w:numId w:val="10"/>
        </w:numPr>
        <w:contextualSpacing/>
        <w:ind w:left="0" w:right="0" w:firstLine="567"/>
        <w:jc w:val="both"/>
        <w:spacing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достаточным количеством аттестованного персонала, организованного по принципу комплексных специализированных бригад.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4"/>
        <w:contextualSpacing/>
        <w:ind w:left="0" w:right="0"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Квалификация персонала должна соответствовать видам выполняемых работ.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iCs/>
          <w:sz w:val="24"/>
          <w:szCs w:val="24"/>
          <w:highlight w:val="white"/>
        </w:rPr>
      </w:r>
      <w:r>
        <w:rPr>
          <w:rFonts w:ascii="Times New Roman" w:hAnsi="Times New Roman" w:cs="Times New Roman"/>
          <w:bCs/>
          <w:iCs/>
          <w:sz w:val="24"/>
          <w:szCs w:val="24"/>
          <w:highlight w:val="white"/>
        </w:rPr>
        <w:t xml:space="preserve">До начала проведения работ в рамках исполнения договора после его заключения подрядчик предоставляет: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4"/>
        <w:numPr>
          <w:ilvl w:val="0"/>
          <w:numId w:val="10"/>
        </w:numPr>
        <w:contextualSpacing/>
        <w:ind w:left="0" w:firstLine="360"/>
        <w:jc w:val="both"/>
        <w:spacing w:line="276" w:lineRule="auto"/>
        <w:rPr>
          <w:rFonts w:ascii="Times New Roman" w:hAnsi="Times New Roman" w:cs="Times New Roman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cs="Times New Roman"/>
          <w:bCs/>
          <w:iCs/>
          <w:sz w:val="24"/>
          <w:szCs w:val="24"/>
          <w:highlight w:val="white"/>
        </w:rPr>
        <w:t xml:space="preserve">список персонала с указанием сведений о квалификации персонала, разряде и группе по электробезопасности с приложением копий удостоверений на производство специальных видов работ (огневых, грузоподъемных, работ с электро - и пневмоинструментом)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1.5. </w:t>
      </w:r>
      <w:r>
        <w:rPr>
          <w:rFonts w:ascii="Times New Roman" w:hAnsi="Times New Roman" w:cs="Times New Roman"/>
          <w:sz w:val="24"/>
          <w:szCs w:val="24"/>
        </w:rPr>
        <w:t xml:space="preserve">Требования к безопасности работ и охране труда</w:t>
      </w:r>
      <w:r>
        <w:rPr>
          <w:rFonts w:ascii="Times New Roman" w:hAnsi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1.5.1.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Требования к безопасности выполняемых работ: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iCs/>
          <w:sz w:val="24"/>
          <w:szCs w:val="24"/>
        </w:rPr>
        <w:t xml:space="preserve"> - СНиП 12-03-2001 «Безопасность труда в строительстве. Часть 1. Общие требования». Приняты и введены в действие Постановлением Госстроя РФ от 23.07.2001 г. №80;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iCs/>
          <w:sz w:val="24"/>
          <w:szCs w:val="24"/>
        </w:rPr>
        <w:t xml:space="preserve"> - СНиП 12-04-2002 «Безопасность труда в строительстве. Часть 2. Строительное производство». Приняты и введены в действие Постановлением Госстроя РФ от 17.09.2002 г. №123;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</w:rPr>
        <w:t xml:space="preserve">1.5.2. </w:t>
      </w:r>
      <w:r>
        <w:rPr>
          <w:rFonts w:ascii="Times New Roman" w:hAnsi="Times New Roman" w:cs="Times New Roman"/>
          <w:sz w:val="24"/>
          <w:szCs w:val="24"/>
        </w:rPr>
        <w:t xml:space="preserve">Соблюдение требований к пожарной безопасности: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line="276" w:lineRule="auto"/>
        <w:shd w:val="clear" w:color="auto" w:fill="ffffff"/>
        <w:tabs>
          <w:tab w:val="left" w:pos="36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- Правилах противопожарного режима в Российской Федерации, утверждены Постановлением Правительства РФ от 16.09.2020 № 1479;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line="276" w:lineRule="auto"/>
        <w:shd w:val="clear" w:color="auto" w:fill="ffffff"/>
        <w:tabs>
          <w:tab w:val="left" w:pos="36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r>
        <w:rPr>
          <w:rFonts w:ascii="Times New Roman" w:hAnsi="Times New Roman" w:cs="Times New Roman"/>
          <w:sz w:val="24"/>
          <w:szCs w:val="24"/>
        </w:rPr>
        <w:t xml:space="preserve">№123-ФЗ от 22.07.2008 «Технический регламент о требованиях пожарной безопасности».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- ГОСТ 12.1.004-91* Система стандартов безопасности труда. Пожарная безопасность. Общие требования.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Ремонтная площадка должна быть оснащена средствами пожаротушения.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1.5.3. Соблюдение требований охраны труда: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наряд-допуск.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Меры по соблюдению требований охраны труда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highlight w:val="white"/>
          <w14:ligatures w14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Правилах по охране труда при строительстве, реконструкции и ремонте (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утверждены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приказом Министерства труда и социальной защиты РФ от 11 декабря 2020 г. N 883н);</w:t>
      </w:r>
      <w:r>
        <w:rPr>
          <w:rFonts w:ascii="Times New Roman" w:hAnsi="Times New Roman" w:cs="Times New Roman"/>
          <w:highlight w:val="white"/>
          <w14:ligatures w14:val="none"/>
        </w:rPr>
      </w:r>
      <w:r>
        <w:rPr>
          <w:rFonts w:ascii="Times New Roman" w:hAnsi="Times New Roman" w:cs="Times New Roman"/>
          <w:highlight w:val="white"/>
          <w14:ligatures w14:val="none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Правилах по охране труда при работе на высоте (утверждены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приказом Министерства труда от 16.11.2020 №782н)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Правилах по охране труда при работе с инструментом и приспособлениями (утверждены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приказом Министерства труда от 27.11.2020 № 835н);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Правилах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line="276" w:lineRule="auto"/>
        <w:widowControl w:val="off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Правилах по охране труда при эксплуатации электроустановок, утвержденные Приказом Министерства труда и социальной защиты РФ от 15.12.2020 №903н;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Правила по охране труда при обработке металлов (утверждены приказом Министерства труда и социальной защиты Российской Федерации от 11.12.2020г. №887н);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Правила при погрузочно-разгрузочных работах и размещении грузов (утверждены приказом Министерства труда и социальной защиты Российской Федерации от 28.10.2020г. №753н);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Правила при эксплуатации промышленного транспорта (напольный безрельсовый колесный транспорт) (утверждены приказом Министерства труда и социальной защиты Российской Федерации от 18.11.2020г. №814н);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Правила при выполнении электросварочных и газосварочных работ (утверждены приказом Министерства труда и социальной защиты Российской Федерации от 11.12.2020г. №884н);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1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равила безопасности опасных производственных объектов, на которых используются подъемные сооружения (утверждены приказом Федеральной службы по экологическому, технологическому и атомному надзору от 26.11.2020г. №461).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27" w:right="0" w:firstLine="682"/>
        <w:jc w:val="both"/>
        <w:spacing w:after="6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  <w:highlight w:val="white"/>
        </w:rPr>
        <w:outlineLvl w:val="2"/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1.5.4. </w:t>
      </w:r>
      <w:r>
        <w:rPr>
          <w:rFonts w:ascii="Times New Roman" w:hAnsi="Times New Roman" w:cs="Times New Roman"/>
          <w:sz w:val="24"/>
          <w:szCs w:val="24"/>
        </w:rPr>
      </w:r>
      <w:bookmarkStart w:id="0" w:name="undefined"/>
      <w:r>
        <w:rPr>
          <w:rFonts w:ascii="Times New Roman" w:hAnsi="Times New Roman" w:cs="Times New Roman"/>
          <w:sz w:val="24"/>
          <w:szCs w:val="24"/>
        </w:rPr>
      </w:r>
      <w:bookmarkStart w:id="0" w:name="undefined"/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Соблюдение требований к охране </w:t>
      </w:r>
      <w:r>
        <w:rPr>
          <w:rFonts w:ascii="Times New Roman" w:hAnsi="Times New Roman" w:eastAsia="Calibri" w:cs="Times New Roman"/>
          <w:sz w:val="24"/>
          <w:szCs w:val="24"/>
          <w:highlight w:val="white"/>
        </w:rPr>
        <w:t xml:space="preserve">окружающей среды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left="27" w:right="0" w:firstLine="682"/>
        <w:jc w:val="both"/>
        <w:spacing w:after="6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При выполнении всех строительных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after="6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Отходы, строительный мусор должны своевременно вывозиться для дальнейшей утилизации.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225" w:firstLine="709"/>
        <w:jc w:val="both"/>
        <w:spacing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Мероприятия и работы по охране окружающей среды вести в соответствии: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225" w:firstLine="709"/>
        <w:jc w:val="both"/>
        <w:spacing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Федеральный закон от 10.01.2002 № 7-ФЗ «Об охране окружающей среды» (ред. от 02.07.21);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225" w:firstLine="709"/>
        <w:jc w:val="both"/>
        <w:spacing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Федеральный закон от 04.05.1999 № 96-ФЗ «Об охране атмосферного воздуха» (ред. от 11.06.2021);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225" w:firstLine="709"/>
        <w:jc w:val="both"/>
        <w:spacing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Водный кодекс Российской Федерации о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т 03.06.2006 N 74-ФЗ (ред. от 04.08.2023);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225" w:firstLine="709"/>
        <w:jc w:val="both"/>
        <w:spacing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СП 34.13330.2012 «Автомобильные дороги. Актуализированная редакция СНиП 2.05.02-85*»;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225" w:firstLine="709"/>
        <w:jc w:val="both"/>
        <w:spacing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- ОДН 218.5.016-2002 «Показатели и нормы экологической безопасности автомобильной дороги» - Распоряжение Минтранс РФ от 25.12.2020 №ИС-1147-р.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before="60" w:after="60" w:line="276" w:lineRule="auto"/>
        <w:widowControl w:val="off"/>
        <w:rPr>
          <w:rFonts w:ascii="Times New Roman" w:hAnsi="Times New Roman" w:cs="Times New Roman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2. Требования к результатам работ: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2.1. Общие требования к результатам работ: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 w:cs="Times New Roman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Состояние здания после ремонта должно соответствовать требованиям нормативно-технической документации на ремонт в течение гарантийного срока</w:t>
      </w:r>
      <w:r>
        <w:rPr>
          <w:rFonts w:ascii="Times New Roman" w:hAnsi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2.2. Требования к оформлению документации: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  <w:highlight w:val="white"/>
          <w14:ligatures w14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Представить Заказчику с актами выполненных работ (в 3 (трёх) экземплярах, а также электронные в</w:t>
      </w:r>
      <w:r>
        <w:rPr>
          <w:rFonts w:ascii="Times New Roman" w:hAnsi="Times New Roman" w:cs="Times New Roman"/>
          <w:sz w:val="24"/>
          <w:szCs w:val="24"/>
        </w:rPr>
        <w:t xml:space="preserve">ерсии Акта КС-2 и Справки КС-3 в формате *gsfx ПК «ГРАНД Сметы» на цифровом носителе) исполнительную документацию в электронном виде (в формате *.pdf) и на бумажном носителе в 3-х экземплярах.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Исполнительная документация должна быть оформлена в соответствии с Приказом №344/пр от 16.05.2023 г. «Об утверждении состава и порядка ведения исполнительной документации при строительстве, реконструкции, капитальном ремонт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е объектов капитального строительства»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  <w:r>
        <w:rPr>
          <w:rFonts w:ascii="Times New Roman" w:hAnsi="Times New Roman" w:cs="Times New Roman"/>
          <w:sz w:val="24"/>
          <w:szCs w:val="24"/>
          <w:highlight w:val="white"/>
          <w14:ligatures w14:val="none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Подрядчик одновременно с передачей актов приемки выполненных работ по форме КС-2 обязан оформить и передать Заказчи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ку сдаточную документацию в соответствии с 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перевооружения.», утвержденным приказом № 555 от 29.11.2019 г. АО «ДГК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акт пред. ремонтного обследования объекта;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ведомость планируемых ремонтно-строительных работ;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акт готовности объекта к производству ремонтных работ;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акт приёмки из ремонта объекта;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комиссионные акты входного контроля закупаемых Подрядчиком материалов (в произвольной форме) на соответствие продукции требованиям технической документации;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акт освидетельствования скрытых работ;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исполнительные чертежи, схемы;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счета-фактуры на материалы, закупаемые Подрядчиком для использования в процессе ремонта;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общий журнал работ, специальные журналы работ (соответствующие видам выполняемых работ);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0"/>
          <w:numId w:val="12"/>
        </w:numPr>
        <w:contextualSpacing/>
        <w:ind w:left="0" w:right="0" w:firstLine="567"/>
        <w:jc w:val="both"/>
        <w:spacing w:after="60" w:line="276" w:lineRule="auto"/>
        <w:tabs>
          <w:tab w:val="clear" w:pos="0" w:leader="none"/>
        </w:tabs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документы о контроле качества сварных соединений, оформленных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Регламентом оформления документации при </w:t>
      </w:r>
      <w:r>
        <w:rPr>
          <w:rFonts w:ascii="Times New Roman" w:hAnsi="Times New Roman" w:cs="Times New Roman"/>
          <w:sz w:val="24"/>
          <w:szCs w:val="24"/>
        </w:rPr>
        <w:t xml:space="preserve">проведении сварочных работ при монтаже и ремонте оборудования объектов АО «ДГК»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709"/>
        <w:jc w:val="both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  <w:t xml:space="preserve">3. Требования к соблюдению положений нормативной и иной обязательной для Подрядчика документации, определяемой видами работ: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24"/>
        <w:numPr>
          <w:ilvl w:val="0"/>
          <w:numId w:val="14"/>
        </w:numPr>
        <w:contextualSpacing/>
        <w:ind w:left="0" w:right="0" w:firstLine="567"/>
        <w:jc w:val="both"/>
        <w:spacing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Перечень национальных стандартов и сводов правил (частей таких стандартов и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(утверждены Постановлением Правительства РФ от 28 мая 2021 г. N815);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4"/>
        <w:numPr>
          <w:ilvl w:val="0"/>
          <w:numId w:val="13"/>
        </w:numPr>
        <w:contextualSpacing/>
        <w:ind w:left="0" w:right="0" w:firstLine="567"/>
        <w:jc w:val="both"/>
        <w:spacing w:before="60" w:after="60" w:line="276" w:lineRule="auto"/>
        <w:widowControl w:val="off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Федеральный закон «О техническом регулировании» №184- ФЗ от 27.12.2002;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4"/>
        <w:numPr>
          <w:ilvl w:val="0"/>
          <w:numId w:val="13"/>
        </w:numPr>
        <w:contextualSpacing/>
        <w:ind w:left="0" w:right="0" w:firstLine="567"/>
        <w:jc w:val="both"/>
        <w:spacing w:before="60" w:after="60" w:line="276" w:lineRule="auto"/>
        <w:widowControl w:val="off"/>
        <w:rPr>
          <w:rFonts w:ascii="Times New Roman" w:hAnsi="Times New Roman" w:cs="Times New Roman"/>
          <w:color w:val="000000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"Правила промышленной безопасности при использовании оборудования, работающего под избыточным давлением"</w:t>
      </w:r>
      <w:r>
        <w:rPr>
          <w:rStyle w:val="905"/>
          <w:rFonts w:ascii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утвержденные приказом Федеральной службой по экологическому, технологическому и атомному надзору от 15.12.2020 г. №536</w:t>
      </w:r>
      <w:r>
        <w:rPr>
          <w:rStyle w:val="905"/>
          <w:rFonts w:ascii="Times New Roman" w:hAnsi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</w:r>
    </w:p>
    <w:p>
      <w:pPr>
        <w:pStyle w:val="884"/>
        <w:contextualSpacing/>
        <w:ind w:firstLine="720"/>
        <w:jc w:val="both"/>
        <w:spacing w:after="0"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4.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Список приложений: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884"/>
        <w:contextualSpacing/>
        <w:ind w:firstLine="720"/>
        <w:jc w:val="both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884"/>
        <w:contextualSpacing/>
        <w:ind w:firstLine="720"/>
        <w:jc w:val="both"/>
        <w:spacing w:after="0" w:line="276" w:lineRule="auto"/>
        <w:shd w:val="clear" w:color="auto" w:fill="ffffff"/>
        <w:tabs>
          <w:tab w:val="left" w:pos="3148" w:leader="none"/>
          <w:tab w:val="center" w:pos="4818" w:leader="none"/>
          <w:tab w:val="left" w:pos="6926" w:leader="none"/>
        </w:tabs>
        <w:rPr>
          <w:rFonts w:ascii="Times New Roman" w:hAnsi="Times New Roman" w:cs="Times New Roman"/>
          <w:bCs/>
          <w:color w:val="000000"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</w:rPr>
        <w:t xml:space="preserve">1.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Приложение №1.1 - Ведомость объемов работ.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Cs/>
          <w:color w:val="000000"/>
          <w:sz w:val="24"/>
          <w:szCs w:val="24"/>
        </w:rPr>
      </w:r>
    </w:p>
    <w:p>
      <w:pPr>
        <w:pStyle w:val="884"/>
        <w:contextualSpacing/>
        <w:ind w:firstLine="720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№1.2 - </w:t>
      </w:r>
      <w:r>
        <w:rPr>
          <w:rFonts w:ascii="Times New Roman" w:hAnsi="Times New Roman" w:cs="Times New Roman"/>
          <w:bCs/>
          <w:sz w:val="24"/>
          <w:szCs w:val="24"/>
        </w:rPr>
        <w:t xml:space="preserve">Ведомость материалов Подрядчика.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0" w:right="0" w:firstLine="0"/>
        <w:jc w:val="both"/>
        <w:spacing w:after="0" w:line="276" w:lineRule="auto"/>
        <w:rPr>
          <w:rFonts w:ascii="Times New Roman" w:hAnsi="Times New Roman" w:cs="Times New Roman"/>
          <w:sz w:val="24"/>
          <w:szCs w:val="24"/>
          <w14:ligatures w14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contextualSpacing/>
        <w:ind w:left="0" w:right="0" w:firstLine="0"/>
        <w:jc w:val="both"/>
        <w:spacing w:after="0" w:line="276" w:lineRule="auto"/>
        <w:rPr>
          <w:rFonts w:ascii="Times New Roman" w:hAnsi="Times New Roman" w:cs="Times New Roman"/>
          <w:sz w:val="24"/>
          <w:szCs w:val="24"/>
          <w14:ligatures w14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pStyle w:val="884"/>
        <w:contextualSpacing/>
        <w:ind w:left="0" w:right="0" w:firstLine="0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ind w:left="360"/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Заказчик </w:t>
        <w:tab/>
        <w:tab/>
        <w:tab/>
        <w:tab/>
        <w:tab/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Подрядчик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4"/>
        <w:contextualSpacing/>
        <w:ind w:left="360"/>
        <w:jc w:val="both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  <w:suppressLineNumbers w:val="0"/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84"/>
        <w:contextualSpacing/>
        <w:ind w:left="360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Директор СП «К</w:t>
      </w:r>
      <w:r>
        <w:rPr>
          <w:rFonts w:ascii="Times New Roman" w:hAnsi="Times New Roman" w:cs="Times New Roman"/>
          <w:sz w:val="24"/>
          <w:szCs w:val="24"/>
        </w:rPr>
        <w:t xml:space="preserve">омсомольская </w:t>
      </w:r>
      <w:r>
        <w:rPr>
          <w:rFonts w:ascii="Times New Roman" w:hAnsi="Times New Roman" w:cs="Times New Roman"/>
          <w:sz w:val="24"/>
          <w:szCs w:val="24"/>
        </w:rPr>
        <w:t xml:space="preserve">ТЭЦ-2»</w:t>
      </w:r>
      <w:r>
        <w:rPr>
          <w:rFonts w:ascii="Times New Roman" w:hAnsi="Times New Roman" w:cs="Times New Roman"/>
          <w:sz w:val="24"/>
          <w:szCs w:val="24"/>
        </w:rPr>
        <w:tab/>
        <w:tab/>
        <w:tab/>
        <w:tab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ind w:left="360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ind w:left="360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4"/>
        <w:contextualSpacing/>
        <w:ind w:left="360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sz w:val="24"/>
          <w:szCs w:val="24"/>
        </w:rPr>
        <w:t xml:space="preserve">С.В. Дущенко</w:t>
      </w:r>
      <w:r>
        <w:rPr>
          <w:rFonts w:ascii="Times New Roman" w:hAnsi="Times New Roman" w:cs="Times New Roman"/>
          <w:sz w:val="24"/>
          <w:szCs w:val="24"/>
        </w:rPr>
        <w:tab/>
        <w:tab/>
        <w:tab/>
        <w:t xml:space="preserve">       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978" w:right="680" w:bottom="567" w:left="1134" w:header="425" w:footer="270" w:gutter="0"/>
      <w:pgNumType w:start="26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80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4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44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64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84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04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24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44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64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84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04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84"/>
    <w:next w:val="884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84"/>
    <w:next w:val="884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84"/>
    <w:next w:val="884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84"/>
    <w:next w:val="884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84"/>
    <w:next w:val="884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84"/>
    <w:next w:val="884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84"/>
    <w:next w:val="884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84"/>
    <w:next w:val="884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84"/>
    <w:next w:val="884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884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before="0" w:after="0" w:line="240" w:lineRule="auto"/>
    </w:pPr>
  </w:style>
  <w:style w:type="paragraph" w:styleId="726">
    <w:name w:val="Title"/>
    <w:basedOn w:val="884"/>
    <w:next w:val="884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basedOn w:val="884"/>
    <w:next w:val="884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basedOn w:val="884"/>
    <w:next w:val="884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4"/>
    <w:next w:val="884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basedOn w:val="884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basedOn w:val="884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next w:val="884"/>
    <w:link w:val="884"/>
    <w:qFormat/>
    <w:pPr>
      <w:spacing w:after="160" w:line="259" w:lineRule="auto"/>
    </w:pPr>
    <w:rPr>
      <w:sz w:val="22"/>
      <w:szCs w:val="22"/>
      <w:lang w:val="ru-RU" w:eastAsia="en-US" w:bidi="ar-SA"/>
    </w:rPr>
  </w:style>
  <w:style w:type="character" w:styleId="885">
    <w:name w:val="Основной шрифт абзаца"/>
    <w:next w:val="885"/>
    <w:link w:val="884"/>
    <w:uiPriority w:val="1"/>
    <w:unhideWhenUsed/>
  </w:style>
  <w:style w:type="table" w:styleId="886">
    <w:name w:val="Обычная таблица"/>
    <w:next w:val="886"/>
    <w:link w:val="884"/>
    <w:uiPriority w:val="99"/>
    <w:semiHidden/>
    <w:unhideWhenUsed/>
    <w:tblPr/>
  </w:style>
  <w:style w:type="numbering" w:styleId="887">
    <w:name w:val="Нет списка"/>
    <w:next w:val="887"/>
    <w:link w:val="884"/>
    <w:uiPriority w:val="99"/>
    <w:semiHidden/>
    <w:unhideWhenUsed/>
  </w:style>
  <w:style w:type="paragraph" w:styleId="888">
    <w:name w:val="Абзац списка"/>
    <w:basedOn w:val="884"/>
    <w:next w:val="888"/>
    <w:link w:val="884"/>
    <w:uiPriority w:val="34"/>
    <w:qFormat/>
    <w:pPr>
      <w:contextualSpacing/>
      <w:ind w:left="720"/>
    </w:pPr>
  </w:style>
  <w:style w:type="paragraph" w:styleId="889">
    <w:name w:val="Без интервала"/>
    <w:next w:val="889"/>
    <w:link w:val="884"/>
    <w:uiPriority w:val="1"/>
    <w:qFormat/>
    <w:pPr>
      <w:widowControl w:val="off"/>
    </w:pPr>
    <w:rPr>
      <w:rFonts w:ascii="Times New Roman" w:hAnsi="Times New Roman" w:eastAsia="Times New Roman"/>
      <w:lang w:val="ru-RU" w:eastAsia="ru-RU" w:bidi="ar-SA"/>
    </w:rPr>
  </w:style>
  <w:style w:type="paragraph" w:styleId="890">
    <w:name w:val="Верхний колонтитул"/>
    <w:basedOn w:val="884"/>
    <w:next w:val="890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>
    <w:name w:val="Верхний колонтитул Знак"/>
    <w:basedOn w:val="885"/>
    <w:next w:val="891"/>
    <w:link w:val="890"/>
    <w:uiPriority w:val="99"/>
  </w:style>
  <w:style w:type="paragraph" w:styleId="892">
    <w:name w:val="Нижний колонтитул"/>
    <w:basedOn w:val="884"/>
    <w:next w:val="892"/>
    <w:link w:val="8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3">
    <w:name w:val="Нижний колонтитул Знак"/>
    <w:basedOn w:val="885"/>
    <w:next w:val="893"/>
    <w:link w:val="892"/>
    <w:uiPriority w:val="99"/>
  </w:style>
  <w:style w:type="character" w:styleId="894">
    <w:name w:val="Знак примечания"/>
    <w:next w:val="894"/>
    <w:link w:val="884"/>
    <w:uiPriority w:val="99"/>
    <w:semiHidden/>
    <w:unhideWhenUsed/>
    <w:rPr>
      <w:sz w:val="16"/>
      <w:szCs w:val="16"/>
    </w:rPr>
  </w:style>
  <w:style w:type="paragraph" w:styleId="895">
    <w:name w:val="Текст примечания"/>
    <w:basedOn w:val="884"/>
    <w:next w:val="895"/>
    <w:link w:val="89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96">
    <w:name w:val="Текст примечания Знак"/>
    <w:next w:val="896"/>
    <w:link w:val="895"/>
    <w:uiPriority w:val="99"/>
    <w:semiHidden/>
    <w:rPr>
      <w:sz w:val="20"/>
      <w:szCs w:val="20"/>
    </w:rPr>
  </w:style>
  <w:style w:type="paragraph" w:styleId="897">
    <w:name w:val="Тема примечания"/>
    <w:basedOn w:val="895"/>
    <w:next w:val="895"/>
    <w:link w:val="898"/>
    <w:uiPriority w:val="99"/>
    <w:semiHidden/>
    <w:unhideWhenUsed/>
    <w:rPr>
      <w:b/>
      <w:bCs/>
    </w:rPr>
  </w:style>
  <w:style w:type="character" w:styleId="898">
    <w:name w:val="Тема примечания Знак"/>
    <w:next w:val="898"/>
    <w:link w:val="897"/>
    <w:uiPriority w:val="99"/>
    <w:semiHidden/>
    <w:rPr>
      <w:b/>
      <w:bCs/>
      <w:sz w:val="20"/>
      <w:szCs w:val="20"/>
    </w:rPr>
  </w:style>
  <w:style w:type="paragraph" w:styleId="899">
    <w:name w:val="Рецензия"/>
    <w:next w:val="899"/>
    <w:link w:val="884"/>
    <w:hidden/>
    <w:uiPriority w:val="99"/>
    <w:semiHidden/>
    <w:rPr>
      <w:sz w:val="22"/>
      <w:szCs w:val="22"/>
      <w:lang w:val="ru-RU" w:eastAsia="en-US" w:bidi="ar-SA"/>
    </w:rPr>
  </w:style>
  <w:style w:type="paragraph" w:styleId="900">
    <w:name w:val="Текст выноски"/>
    <w:basedOn w:val="884"/>
    <w:next w:val="900"/>
    <w:link w:val="90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1">
    <w:name w:val="Текст выноски Знак"/>
    <w:next w:val="901"/>
    <w:link w:val="900"/>
    <w:uiPriority w:val="99"/>
    <w:semiHidden/>
    <w:rPr>
      <w:rFonts w:ascii="Tahoma" w:hAnsi="Tahoma" w:cs="Tahoma"/>
      <w:sz w:val="16"/>
      <w:szCs w:val="16"/>
    </w:rPr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  <w:style w:type="character" w:styleId="905" w:customStyle="1">
    <w:name w:val="Font Style17"/>
    <w:qFormat/>
    <w:rPr>
      <w:rFonts w:ascii="Times New Roman" w:hAnsi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DVGK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Виногорова Наталья Олеговна</dc:creator>
  <cp:lastModifiedBy>chuvashev_vb</cp:lastModifiedBy>
  <cp:revision>11</cp:revision>
  <dcterms:created xsi:type="dcterms:W3CDTF">2023-11-29T01:07:00Z</dcterms:created>
  <dcterms:modified xsi:type="dcterms:W3CDTF">2024-11-25T04:07:59Z</dcterms:modified>
  <cp:version>917504</cp:version>
</cp:coreProperties>
</file>