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rPr>
          <w:spacing w:val="-4"/>
          <w:sz w:val="28"/>
          <w:szCs w:val="28"/>
        </w:rPr>
      </w:pPr>
      <w:r/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  <w:t xml:space="preserve">Перечень рекомендуемых мероприятий по улучшению условий труда</w:t>
      </w:r>
      <w:r>
        <w:rPr>
          <w:spacing w:val="-4"/>
          <w:sz w:val="28"/>
          <w:szCs w:val="28"/>
        </w:rPr>
      </w:r>
      <w:r/>
    </w:p>
    <w:p>
      <w:r>
        <w:rPr>
          <w:rStyle w:val="679"/>
          <w:highlight w:val="none"/>
        </w:rPr>
      </w:r>
      <w:r>
        <w:rPr>
          <w:rStyle w:val="679"/>
          <w:highlight w:val="none"/>
        </w:rPr>
      </w:r>
    </w:p>
    <w:p>
      <w:pPr>
        <w:rPr>
          <w:rStyle w:val="679"/>
          <w:highlight w:val="none"/>
        </w:rPr>
      </w:pPr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79"/>
        </w:rPr>
        <w:t xml:space="preserve"> </w:t>
      </w:r>
      <w:r>
        <w:rPr>
          <w:rStyle w:val="679"/>
        </w:rPr>
        <w:fldChar w:fldCharType="begin"/>
      </w:r>
      <w:r>
        <w:rPr>
          <w:rStyle w:val="679"/>
        </w:rPr>
        <w:instrText xml:space="preserve"> DOCVARIABLE </w:instrText>
      </w:r>
      <w:r>
        <w:rPr>
          <w:rStyle w:val="679"/>
          <w:lang w:val="en-US"/>
        </w:rPr>
        <w:instrText xml:space="preserve">ceh</w:instrText>
      </w:r>
      <w:r>
        <w:rPr>
          <w:rStyle w:val="679"/>
        </w:rPr>
        <w:instrText xml:space="preserve">_</w:instrText>
      </w:r>
      <w:r>
        <w:rPr>
          <w:rStyle w:val="679"/>
          <w:lang w:val="en-US"/>
        </w:rPr>
        <w:instrText xml:space="preserve">info</w:instrText>
      </w:r>
      <w:r>
        <w:rPr>
          <w:rStyle w:val="679"/>
        </w:rPr>
        <w:instrText xml:space="preserve"> \* MERGEFORMAT </w:instrText>
      </w:r>
      <w:r>
        <w:rPr>
          <w:rStyle w:val="679"/>
        </w:rPr>
        <w:fldChar w:fldCharType="separate"/>
      </w:r>
      <w:r>
        <w:rPr>
          <w:rStyle w:val="679"/>
        </w:rPr>
        <w:t xml:space="preserve"> АО «Дальневосточная генерирующая компания» СП «Приморские тепловые сети» </w:t>
      </w:r>
      <w:r>
        <w:rPr>
          <w:rStyle w:val="679"/>
        </w:rPr>
        <w:fldChar w:fldCharType="end"/>
      </w:r>
      <w:r>
        <w:rPr>
          <w:rStyle w:val="679"/>
        </w:rPr>
        <w:t xml:space="preserve"> </w:t>
      </w:r>
      <w:r/>
    </w:p>
    <w:p>
      <w:pPr>
        <w:pStyle w:val="6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bookmarkStart w:id="1" w:name="main_table"/>
            <w:r/>
            <w:bookmarkEnd w:id="1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Наименование мероприятия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Цель мероприятия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выполнения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Структурные подразделения, привлекаемые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Отметка о выполнении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район/Диспетчерская служба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308.260-25.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310.260-25.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№1 (магистральные сети)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270.260-25. Мастер участка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272.260-25.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273.260-25.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№1 (магистральные сети)/ТНС 9-го микрорайона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277.260-25.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№1 (магистральные сети)/ТНС-1 "Уссурийская"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275.260-25.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№1 (магистральные сети)/ТНС-3 "Суражевка"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276.260-25.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  <w:rPr>
                <w:highlight w:val="none"/>
              </w:rPr>
            </w:pPr>
            <w:r>
              <w:t xml:space="preserve">Снижение времени  воздействия шума </w:t>
            </w:r>
            <w:r/>
          </w:p>
          <w:p>
            <w:pPr>
              <w:pStyle w:val="68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  <w:trHeight w:val="6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№2 (поселковые сети)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278.260-25. Мастер участка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280.260-25.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№2 (поселковые сети)/ТНС-2 (пос. Заводской)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283.260-25.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№2 (поселковые сети)/ЦТП "Михайловская"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284.260-25.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№2 (поселковые сети)/ЦТП "Суражевка"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276/1.260-25.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№2 (поселковые сети)/ЦТП пос. Артемовский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286.260-25.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Артемовский район/Участок №3 (сети г.Артем)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288.260-25. Мастер участка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290.260-25.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294.260-25.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Артёмовский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Восточный район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194.260-25. Слесарь по обслу</w:t>
            </w:r>
            <w:r>
              <w:t xml:space="preserve">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</w:t>
            </w:r>
            <w:r>
              <w:t xml:space="preserve">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</w:t>
            </w:r>
            <w:r>
              <w:t xml:space="preserve">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Восточный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Восточный район/Участок по обслуживанию ТНС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Восточный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211.260-25.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Восточный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Восточный район/ЦТП "Патрокл"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Восточный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213.260-25. Слесарь по обслуживанию тепловых пунктов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Восточный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Диспетчерская служба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125.260-25.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Диспетчерская служба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Котельный цех №1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152.260-25. Машинист котлов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154.260-25. Машинист топливоподачи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155.260-25. Машинист-обходчик по котельному оборудованию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151.260-25. Начальник смены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156.260-25. Слесарь по обслуживанию оборудования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150.260-25. Старший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159.260-25. Старший машинист котельного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№1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Котельный цех №2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165.260-25. Заместитель начальника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164.260-25. Начальник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167.260-25. Старший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Котельный цех №2/Участок №1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169.260-25. Машинист котлов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</w:t>
            </w:r>
            <w:r>
              <w:t xml:space="preserve">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</w:t>
            </w:r>
            <w:r>
              <w:t xml:space="preserve">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170.260-25. Машинист топливоподачи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171.260-25. Машинист-обходчик по котельному оборудованию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168.260-25. Начальник смены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172.260-25. Слесарь по обслуживанию оборудования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173.260-25. Старший машинист котельного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Котельный цех №2/Участок №2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175.260-25. Машинист котлов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177.260-25. Машинист-обходчик по котельному оборудованию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174.260-25. Начальник смены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178.260-25. Старший машинист котельного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Котельный цех №2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Отдел главного механика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126.260-25. Главный механик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Отдел главного механика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127.260-25. Механик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Отдел главного механика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Отдел главного механика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129.260-25. Слесарь-ремонтник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Отдел главного механика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</w:t>
            </w:r>
            <w:r>
              <w:t xml:space="preserve">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Отдел главного механика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130.260-25. Слесарь-электрик по ремонту электрооборудования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Отдел главного механика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Отдел главного механика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Партизанский район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322.260-25. Мастер участка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325.260-25.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327.260-25. Слесарь по ремонту оборудования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321.260-25. Старший мастер участка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329.260-25.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Партизанский район/Диспетчерская служба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719.260-25. Диспетчер района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332.260-25.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333.260-25.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Партизанский район/Участок по обслуживанию ТНС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338.260-25.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Партизанский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Северный район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243.260-25.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Северный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247.260-25.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Северный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Северный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Северный район/Участок по </w:t>
            </w:r>
            <w:r>
              <w:rPr>
                <w:b/>
                <w:i/>
              </w:rPr>
              <w:t xml:space="preserve">обслуживанию ТНС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Северный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259.260-25.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Северный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Служба наладки и испытаний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141.260-25. Слесарь по обслуживанию тепловых пунктов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Служба наладки и испытаний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Химическая лаборатория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428.260-25. Аппаратчик химводоочистки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427.260-25. Инженер-химик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431.260-25. Лаборант химического анализа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Химическая лаборатория/Лаборатория сточных вод и очистных сооружений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438.260-25. Инженер-химик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439.260-25. Лаборант химического анализа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Химическая лаборатория/Лаборатория химического анализа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434.260-25. Лаборант химического анализа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Химическая лаборатория/Промышленно-санитарная лаборатория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442.260-25. Инженер-химик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443.260-25. Лаборант химического анализа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Химическая лаборатория/Сетевая лаборатория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440.260-25. Инженер-химик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441.260-25. Лаборант химического анализа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Химическая лаборатория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Центральный район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219.260-25. Слесарь по обслуживанию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Центральный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222.260-25. Слесарь по ремонту оборудования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Центральный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224.260-25. Электросварщик </w:t>
            </w:r>
            <w:r>
              <w:t xml:space="preserve">ручной сварки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</w:t>
            </w:r>
            <w:r>
              <w:t xml:space="preserve">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</w:t>
            </w:r>
            <w:r>
              <w:t xml:space="preserve">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Центральный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Центральный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Центральный район/Участок по обслуживанию ТНС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Центральный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237.260-25.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Центральный район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информационных технологий и связи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119.260-25. Мастер участка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информационных технологий и связи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120.260-25. Электромонтер диспетчерского оборудования и телеавтоматики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информационных технологий и связи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тепловой автоматики и измерений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720.260-25. Инженер по метрологии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721.260-25.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636.260-25. Начальник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722.260-25. Слесарь по контрольно-измерительным приборам и автоматике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тепловой автоматики и измерений/Участок котельный цех № 1</w:t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auto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auto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auto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637.260-25.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640.260-25. Электрослесарь по ремонту и обслуживанию автоматики и средств измерений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тепловой автоматики и измерений/Участок котельный цех № 2-1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641.260-25.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642.260-25. Электрослесарь по ремонту и обслуживанию автоматики и средств измерений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</w:tbl>
    <w:p>
      <w:pPr>
        <w:rPr>
          <w:sz w:val="2"/>
        </w:rPr>
      </w:pPr>
      <w:r>
        <w:br w:type="page" w:clear="all"/>
      </w:r>
      <w:r>
        <w:rPr>
          <w:sz w:val="2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тепловой автоматики и измерений/Участок котельный цех № 2-2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645.260-25.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647.260-25. Электрослесарь по ремонту и обслуживанию автоматики и средств измерений электростанций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тепловой автоматики и измерений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централизованного ремонта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643.260-25. Заместитель начальника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642/1.260-25. Начальник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централизованного ремонта/Участок № 1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351.260-25. Слесарь по ремонту оборудования котельных и пылеприготовительных цехов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централизованного ремонта/Участок № 2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359.260-25. Изолировщик на термоизоляции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358.260-25.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362.260-25. Слесарь по ремонту оборудования котельных и пылеприготовительных цехов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357.260-25. Старший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370.260-25. Электросварщик ручной сварки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централизованного ремонта/Участок № 4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378.260-25.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384.260-25. Слесарь по ремонту оборудования котельных и пылеприготовительных цехов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388.260-25. Электросварщик ручной сварки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Цех централизованного ремонта/Участок по ремонту тепловых сетей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667.260-25. Изолировщик на термоизоляции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662.260-25. Мастер участка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665.260-25. Слесарь по ремонту оборудования тепловых сетей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661.260-25. Старший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663.260-25.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</w:tbl>
    <w:p>
      <w:pPr>
        <w:rPr>
          <w:sz w:val="2"/>
        </w:rPr>
      </w:pPr>
      <w:r>
        <w:br w:type="page" w:clear="all"/>
      </w:r>
      <w:r>
        <w:rPr>
          <w:sz w:val="2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Цех централизованного ремонта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fff00"/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00"/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329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shd w:val="clear" w:color="auto" w:fill="ffff00"/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391.260-25. Заместитель начальника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цех/Участок Артемовский район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418.260-25. Мастер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419.260-25.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цех/Участок котельный цех № 1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421.260-25. Электромонтер по ремонту и обслуживанию электрооборудования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395.260-25. Электромонтер по ремонту и обслуживанию электрооборудования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398.260-25. Электромонтер по ремонту и обслуживанию электрооборудования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цех/Участок котельный цех № 2-1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399.260-25.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400.260-25. Электромонтер по ремонту и обслуживанию электрооборудования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401.260-25. Электрослесарь по ремонту электрических машин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цех/Участок котельный цех № 2-2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402.260-25. Электромонтер по ремонту и обслуживанию электрооборудования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437.260-25. Электрослесарь по ремонту электрических машин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цех/Участок Партизанский район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423.260-25. Мастер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424.260-25. Электромонтер по ремонту и обслуживанию электрооборудования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цех/Участок т/с г.Владивостока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409.260-25.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цех/Электротехническая лаборатория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416.260-25.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414.260-25. Инженер по испытаниям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413.260-25. Начальник лаборатории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415.260-25. Электромонтер по испытаниям и измерениям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80"/>
              <w:jc w:val="left"/>
            </w:pPr>
            <w:r>
              <w:t xml:space="preserve">417.260-25. Электромонтер по ремонту аппаратуры релейной защиты и автоматики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постоянно</w:t>
            </w:r>
            <w:r/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680"/>
            </w:pPr>
            <w:r>
              <w:t xml:space="preserve">Электрический цех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80"/>
            </w:pPr>
            <w:r>
              <w:t xml:space="preserve">выполняется</w:t>
            </w:r>
            <w:r/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headerReference w:type="default" r:id="rId8"/>
      <w:footnotePr/>
      <w:endnotePr/>
      <w:type w:val="nextPage"/>
      <w:pgSz w:w="16838" w:h="11906" w:orient="landscape"/>
      <w:pgMar w:top="899" w:right="851" w:bottom="568" w:left="851" w:header="39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7"/>
    <w:uiPriority w:val="34"/>
    <w:qFormat/>
    <w:pPr>
      <w:contextualSpacing/>
      <w:ind w:left="720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9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9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9"/>
    <w:link w:val="681"/>
    <w:uiPriority w:val="99"/>
  </w:style>
  <w:style w:type="character" w:styleId="45">
    <w:name w:val="Footer Char"/>
    <w:basedOn w:val="669"/>
    <w:link w:val="683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9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9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rPr>
      <w:sz w:val="24"/>
    </w:rPr>
  </w:style>
  <w:style w:type="paragraph" w:styleId="668">
    <w:name w:val="Heading 1"/>
    <w:basedOn w:val="667"/>
    <w:next w:val="66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table" w:styleId="672">
    <w:name w:val="Table Grid"/>
    <w:basedOn w:val="67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3">
    <w:name w:val="Hyperlink"/>
    <w:rPr>
      <w:color w:val="0000ff"/>
      <w:u w:val="single"/>
    </w:rPr>
  </w:style>
  <w:style w:type="paragraph" w:styleId="674" w:customStyle="1">
    <w:name w:val="Готовый"/>
    <w:basedOn w:val="667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7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76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77" w:customStyle="1">
    <w:name w:val="Раздел"/>
    <w:basedOn w:val="667"/>
    <w:link w:val="678"/>
    <w:pPr>
      <w:spacing w:before="60"/>
    </w:pPr>
    <w:rPr>
      <w:b/>
      <w:color w:val="000000"/>
      <w:szCs w:val="24"/>
    </w:rPr>
  </w:style>
  <w:style w:type="character" w:styleId="678" w:customStyle="1">
    <w:name w:val="Раздел Знак"/>
    <w:link w:val="677"/>
    <w:rPr>
      <w:b/>
      <w:color w:val="000000"/>
      <w:sz w:val="24"/>
      <w:szCs w:val="24"/>
      <w:lang w:val="ru-RU" w:eastAsia="ru-RU" w:bidi="ar-SA"/>
    </w:rPr>
  </w:style>
  <w:style w:type="character" w:styleId="679" w:customStyle="1">
    <w:name w:val="Поле"/>
    <w:rPr>
      <w:rFonts w:ascii="Times New Roman" w:hAnsi="Times New Roman"/>
      <w:sz w:val="24"/>
      <w:u w:val="single"/>
    </w:rPr>
  </w:style>
  <w:style w:type="paragraph" w:styleId="680" w:customStyle="1">
    <w:name w:val="Табличный"/>
    <w:basedOn w:val="667"/>
    <w:pPr>
      <w:jc w:val="center"/>
    </w:pPr>
    <w:rPr>
      <w:sz w:val="20"/>
    </w:rPr>
  </w:style>
  <w:style w:type="paragraph" w:styleId="681">
    <w:name w:val="Header"/>
    <w:basedOn w:val="667"/>
    <w:link w:val="682"/>
    <w:uiPriority w:val="99"/>
    <w:pPr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link w:val="681"/>
    <w:uiPriority w:val="99"/>
    <w:rPr>
      <w:sz w:val="24"/>
    </w:rPr>
  </w:style>
  <w:style w:type="paragraph" w:styleId="683">
    <w:name w:val="Footer"/>
    <w:basedOn w:val="667"/>
    <w:link w:val="684"/>
    <w:pPr>
      <w:tabs>
        <w:tab w:val="center" w:pos="4677" w:leader="none"/>
        <w:tab w:val="right" w:pos="9355" w:leader="none"/>
      </w:tabs>
    </w:pPr>
  </w:style>
  <w:style w:type="character" w:styleId="684" w:customStyle="1">
    <w:name w:val="Нижний колонтитул Знак"/>
    <w:link w:val="683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3048-A7A1-4042-9ABF-FDEF7115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nikonenko_oa</cp:lastModifiedBy>
  <cp:revision>4</cp:revision>
  <dcterms:created xsi:type="dcterms:W3CDTF">2026-02-03T17:30:00Z</dcterms:created>
  <dcterms:modified xsi:type="dcterms:W3CDTF">2026-03-17T06:20:24Z</dcterms:modified>
</cp:coreProperties>
</file>